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DF81DDB" w:rsidR="00E66558" w:rsidRDefault="009D71E8">
      <w:pPr>
        <w:pStyle w:val="Heading1"/>
      </w:pPr>
      <w:bookmarkStart w:id="0" w:name="_Toc400361362"/>
      <w:bookmarkStart w:id="1" w:name="_Toc443397153"/>
      <w:bookmarkStart w:id="2" w:name="_Toc357771638"/>
      <w:bookmarkStart w:id="3" w:name="_Toc346793416"/>
      <w:bookmarkStart w:id="4" w:name="_Toc328122777"/>
      <w:r>
        <w:t xml:space="preserve">Pupil </w:t>
      </w:r>
      <w:r w:rsidR="0AA444A5">
        <w:t>P</w:t>
      </w:r>
      <w:r>
        <w:t xml:space="preserve">remium </w:t>
      </w:r>
      <w:r w:rsidR="7F7BC0E0">
        <w:t>S</w:t>
      </w:r>
      <w:r>
        <w:t xml:space="preserve">trategy </w:t>
      </w:r>
      <w:r w:rsidR="527AB9F2">
        <w:t>S</w:t>
      </w:r>
      <w:r>
        <w:t>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proofErr w:type="spellStart"/>
      <w:r w:rsidR="0042289B">
        <w:t>Zetland</w:t>
      </w:r>
      <w:proofErr w:type="spellEnd"/>
      <w:r w:rsidR="0042289B">
        <w:t xml:space="preserve"> Primary School</w:t>
      </w:r>
    </w:p>
    <w:p w14:paraId="57AD2424" w14:textId="77777777"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3F189FF1" w:rsidR="002940F3" w:rsidRDefault="004F4838" w:rsidP="00C31636">
            <w:pPr>
              <w:pStyle w:val="TableRow"/>
              <w:ind w:left="0" w:right="0"/>
            </w:pPr>
            <w:r>
              <w:t>1</w:t>
            </w:r>
            <w:r w:rsidR="00383ACD">
              <w:t>8</w:t>
            </w:r>
            <w:r w:rsidR="00DB4D63">
              <w:t>8</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370694D8" w:rsidR="002940F3" w:rsidRDefault="000407EA" w:rsidP="00C31636">
            <w:pPr>
              <w:pStyle w:val="TableRow"/>
              <w:ind w:left="0" w:right="0"/>
            </w:pPr>
            <w:r>
              <w:t>3</w:t>
            </w:r>
            <w:r w:rsidR="00DB4D63">
              <w:t>7</w:t>
            </w:r>
            <w:r>
              <w:t>%</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33924739" w:rsidR="002940F3" w:rsidRDefault="002940F3" w:rsidP="00C31636">
            <w:pPr>
              <w:pStyle w:val="TableRow"/>
              <w:ind w:left="0" w:right="0"/>
            </w:pPr>
            <w:r>
              <w:t xml:space="preserve">Academic year/years that our current pupil premium strategy plan covers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41BDDCC7" w:rsidR="002940F3" w:rsidRDefault="00E57FCD" w:rsidP="00C31636">
            <w:pPr>
              <w:pStyle w:val="TableRow"/>
              <w:ind w:left="0" w:right="0"/>
            </w:pPr>
            <w:r>
              <w:t>202</w:t>
            </w:r>
            <w:r w:rsidR="0085101B">
              <w:t>5-202</w:t>
            </w:r>
            <w:r w:rsidR="00310EE5">
              <w:t>8</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78ECB096" w:rsidR="002940F3" w:rsidRDefault="00E57FCD" w:rsidP="00C31636">
            <w:pPr>
              <w:pStyle w:val="TableRow"/>
              <w:ind w:left="0" w:right="0"/>
            </w:pPr>
            <w:r>
              <w:t>December 202</w:t>
            </w:r>
            <w:r w:rsidR="0085101B">
              <w:t>5</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3B4BDC12" w:rsidR="002940F3" w:rsidRDefault="00E57FCD" w:rsidP="00C31636">
            <w:pPr>
              <w:pStyle w:val="TableRow"/>
              <w:ind w:left="0" w:right="0"/>
            </w:pPr>
            <w:r>
              <w:t>December 202</w:t>
            </w:r>
            <w:r w:rsidR="0085101B">
              <w:t>6</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5160E34A" w:rsidR="002940F3" w:rsidRDefault="00741E93" w:rsidP="00C31636">
            <w:pPr>
              <w:pStyle w:val="TableRow"/>
              <w:ind w:left="0" w:right="0"/>
            </w:pPr>
            <w:r>
              <w:t>Paul Richardson</w:t>
            </w:r>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23738A3C" w:rsidR="002940F3" w:rsidRDefault="00E57FCD" w:rsidP="00C31636">
            <w:pPr>
              <w:pStyle w:val="TableRow"/>
              <w:ind w:left="0" w:right="0"/>
            </w:pPr>
            <w:r>
              <w:t>Paul Richardson</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439E64FF" w:rsidR="002940F3" w:rsidRDefault="00E57FCD" w:rsidP="00C31636">
            <w:pPr>
              <w:pStyle w:val="TableRow"/>
              <w:ind w:left="0" w:right="0"/>
            </w:pPr>
            <w:r>
              <w:t>Sheila Leng</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0458B208" w:rsidR="00E66558" w:rsidRDefault="009D71E8" w:rsidP="00C31636">
            <w:pPr>
              <w:pStyle w:val="TableRow"/>
              <w:ind w:left="0" w:right="0"/>
            </w:pPr>
            <w:r>
              <w:t>£</w:t>
            </w:r>
            <w:r w:rsidR="00611E9A">
              <w:t>10</w:t>
            </w:r>
            <w:r w:rsidR="00DB4D63">
              <w:t>1</w:t>
            </w:r>
            <w:r w:rsidR="00611E9A">
              <w:t>,</w:t>
            </w:r>
            <w:r w:rsidR="00DB4D63">
              <w:t>82</w:t>
            </w:r>
            <w:r w:rsidR="00611E9A">
              <w:t>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7F6E3A1F"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E957603" w:rsidR="00E66558" w:rsidRDefault="009D71E8" w:rsidP="00C31636">
            <w:pPr>
              <w:pStyle w:val="TableRow"/>
              <w:ind w:left="0" w:right="0"/>
            </w:pPr>
            <w:r>
              <w:t>£</w:t>
            </w:r>
            <w:r w:rsidR="00E57FCD">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1" w14:textId="0412EE18" w:rsidR="00E66558" w:rsidRPr="0075344B" w:rsidRDefault="009D71E8" w:rsidP="0075344B">
            <w:pPr>
              <w:pStyle w:val="TableRow"/>
              <w:spacing w:after="120"/>
              <w:ind w:left="0" w:right="0"/>
              <w:rPr>
                <w:b/>
              </w:rPr>
            </w:pPr>
            <w:r>
              <w:rPr>
                <w:b/>
              </w:rPr>
              <w:t>Total budget for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55F9F80D" w:rsidR="00E66558" w:rsidRDefault="009D71E8" w:rsidP="00C31636">
            <w:pPr>
              <w:pStyle w:val="TableRow"/>
              <w:ind w:left="0" w:right="0"/>
            </w:pPr>
            <w:r>
              <w:t>£</w:t>
            </w:r>
            <w:r w:rsidR="00611E9A">
              <w:t>10</w:t>
            </w:r>
            <w:r w:rsidR="00DB4D63">
              <w:t>1</w:t>
            </w:r>
            <w:r w:rsidR="00611E9A">
              <w:t>,</w:t>
            </w:r>
            <w:r w:rsidR="00DB4D63">
              <w:t>82</w:t>
            </w:r>
            <w:r w:rsidR="00611E9A">
              <w:t>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F6C2F" w14:textId="77777777" w:rsidR="007C1F08" w:rsidRPr="007C1F08" w:rsidRDefault="007C1F08" w:rsidP="007C1F08">
            <w:pPr>
              <w:spacing w:before="120"/>
              <w:rPr>
                <w:b/>
                <w:bCs/>
                <w:iCs/>
              </w:rPr>
            </w:pPr>
            <w:r w:rsidRPr="007C1F08">
              <w:rPr>
                <w:b/>
                <w:bCs/>
                <w:iCs/>
              </w:rPr>
              <w:t>Intent</w:t>
            </w:r>
          </w:p>
          <w:p w14:paraId="2765EA84" w14:textId="77777777" w:rsidR="007C1F08" w:rsidRPr="007C1F08" w:rsidRDefault="007C1F08" w:rsidP="007C1F08">
            <w:pPr>
              <w:spacing w:before="120"/>
              <w:rPr>
                <w:iCs/>
              </w:rPr>
            </w:pPr>
            <w:r w:rsidRPr="007C1F08">
              <w:rPr>
                <w:iCs/>
              </w:rPr>
              <w:t xml:space="preserve">At </w:t>
            </w:r>
            <w:proofErr w:type="spellStart"/>
            <w:r w:rsidRPr="007C1F08">
              <w:rPr>
                <w:iCs/>
              </w:rPr>
              <w:t>Zetland</w:t>
            </w:r>
            <w:proofErr w:type="spellEnd"/>
            <w:r w:rsidRPr="007C1F08">
              <w:rPr>
                <w:iCs/>
              </w:rPr>
              <w:t>, our core aim is for pupil premium children to achieve attainment levels in line with their peers, narrowing the gap from their often significantly lower starting points. We prioritise building strong foundations in reading from the early years, fostering a lifelong love of reading across the school. We recognise the importance of early language acquisition and communication skills as key drivers of future success. Our approach is rooted in equity, ensuring every child—regardless of background—</w:t>
            </w:r>
            <w:proofErr w:type="gramStart"/>
            <w:r w:rsidRPr="007C1F08">
              <w:rPr>
                <w:iCs/>
              </w:rPr>
              <w:t>has the opportunity to</w:t>
            </w:r>
            <w:proofErr w:type="gramEnd"/>
            <w:r w:rsidRPr="007C1F08">
              <w:rPr>
                <w:iCs/>
              </w:rPr>
              <w:t xml:space="preserve"> thrive academically, socially, and emotionally.</w:t>
            </w:r>
          </w:p>
          <w:p w14:paraId="0BE2A093" w14:textId="77777777" w:rsidR="007C1F08" w:rsidRPr="007C1F08" w:rsidRDefault="007C1F08" w:rsidP="007C1F08">
            <w:pPr>
              <w:spacing w:before="120"/>
              <w:rPr>
                <w:b/>
                <w:bCs/>
                <w:iCs/>
              </w:rPr>
            </w:pPr>
            <w:r w:rsidRPr="007C1F08">
              <w:rPr>
                <w:b/>
                <w:bCs/>
                <w:iCs/>
              </w:rPr>
              <w:t>Implementation</w:t>
            </w:r>
          </w:p>
          <w:p w14:paraId="1036D9FB" w14:textId="77777777" w:rsidR="007C1F08" w:rsidRPr="007C1F08" w:rsidRDefault="007C1F08" w:rsidP="007C1F08">
            <w:pPr>
              <w:numPr>
                <w:ilvl w:val="0"/>
                <w:numId w:val="18"/>
              </w:numPr>
              <w:spacing w:before="120"/>
              <w:rPr>
                <w:iCs/>
              </w:rPr>
            </w:pPr>
            <w:r w:rsidRPr="007C1F08">
              <w:rPr>
                <w:b/>
                <w:bCs/>
                <w:iCs/>
              </w:rPr>
              <w:t>Early Years Focus</w:t>
            </w:r>
            <w:r w:rsidRPr="007C1F08">
              <w:rPr>
                <w:iCs/>
              </w:rPr>
              <w:t>: Emphasis on phonics, vocabulary development, and oral language to build strong reading foundations.</w:t>
            </w:r>
          </w:p>
          <w:p w14:paraId="23553CF7" w14:textId="77777777" w:rsidR="007C1F08" w:rsidRPr="007C1F08" w:rsidRDefault="007C1F08" w:rsidP="007C1F08">
            <w:pPr>
              <w:numPr>
                <w:ilvl w:val="0"/>
                <w:numId w:val="18"/>
              </w:numPr>
              <w:spacing w:before="120"/>
              <w:rPr>
                <w:iCs/>
              </w:rPr>
            </w:pPr>
            <w:r w:rsidRPr="007C1F08">
              <w:rPr>
                <w:b/>
                <w:bCs/>
                <w:iCs/>
              </w:rPr>
              <w:t>Targeted Interventions</w:t>
            </w:r>
            <w:r w:rsidRPr="007C1F08">
              <w:rPr>
                <w:iCs/>
              </w:rPr>
              <w:t>: Carefully planned and monitored support for children needing to make accelerated progress, including pre-teaching and consolidation sessions.</w:t>
            </w:r>
          </w:p>
          <w:p w14:paraId="18108DD9" w14:textId="77777777" w:rsidR="007C1F08" w:rsidRPr="007C1F08" w:rsidRDefault="007C1F08" w:rsidP="007C1F08">
            <w:pPr>
              <w:numPr>
                <w:ilvl w:val="0"/>
                <w:numId w:val="18"/>
              </w:numPr>
              <w:spacing w:before="120"/>
              <w:rPr>
                <w:iCs/>
              </w:rPr>
            </w:pPr>
            <w:r w:rsidRPr="007C1F08">
              <w:rPr>
                <w:b/>
                <w:bCs/>
                <w:iCs/>
              </w:rPr>
              <w:t>Challenge for High Potential Pupils</w:t>
            </w:r>
            <w:r w:rsidRPr="007C1F08">
              <w:rPr>
                <w:iCs/>
              </w:rPr>
              <w:t>: Opportunities for depth and mastery are provided for disadvantaged pupils who require further challenge.</w:t>
            </w:r>
          </w:p>
          <w:p w14:paraId="4E1E8790" w14:textId="76D0D4D0" w:rsidR="007C1F08" w:rsidRPr="007C1F08" w:rsidRDefault="007C1F08" w:rsidP="007C1F08">
            <w:pPr>
              <w:numPr>
                <w:ilvl w:val="0"/>
                <w:numId w:val="18"/>
              </w:numPr>
              <w:spacing w:before="120"/>
              <w:rPr>
                <w:iCs/>
              </w:rPr>
            </w:pPr>
            <w:r w:rsidRPr="007C1F08">
              <w:rPr>
                <w:b/>
                <w:bCs/>
                <w:iCs/>
              </w:rPr>
              <w:t>Additional Adult Support</w:t>
            </w:r>
            <w:r w:rsidRPr="007C1F08">
              <w:rPr>
                <w:iCs/>
              </w:rPr>
              <w:t>: TA support enables ‘in the moment’ intervention and personalised learning opportunities.</w:t>
            </w:r>
          </w:p>
          <w:p w14:paraId="04436EF7" w14:textId="77777777" w:rsidR="007C1F08" w:rsidRPr="007C1F08" w:rsidRDefault="007C1F08" w:rsidP="007C1F08">
            <w:pPr>
              <w:numPr>
                <w:ilvl w:val="0"/>
                <w:numId w:val="18"/>
              </w:numPr>
              <w:spacing w:before="120"/>
              <w:rPr>
                <w:iCs/>
              </w:rPr>
            </w:pPr>
            <w:r w:rsidRPr="007C1F08">
              <w:rPr>
                <w:b/>
                <w:bCs/>
                <w:iCs/>
              </w:rPr>
              <w:t>Emotional and Social Support</w:t>
            </w:r>
            <w:r w:rsidRPr="007C1F08">
              <w:rPr>
                <w:iCs/>
              </w:rPr>
              <w:t>: Provision to ensure children feel safe, secure, and happy, including pastoral care and wellbeing initiatives.</w:t>
            </w:r>
          </w:p>
          <w:p w14:paraId="2A04B06E" w14:textId="77777777" w:rsidR="007C1F08" w:rsidRPr="007C1F08" w:rsidRDefault="007C1F08" w:rsidP="007C1F08">
            <w:pPr>
              <w:spacing w:before="120"/>
              <w:rPr>
                <w:b/>
                <w:bCs/>
                <w:iCs/>
              </w:rPr>
            </w:pPr>
            <w:r w:rsidRPr="007C1F08">
              <w:rPr>
                <w:b/>
                <w:bCs/>
                <w:iCs/>
              </w:rPr>
              <w:t>Impact</w:t>
            </w:r>
          </w:p>
          <w:p w14:paraId="10F1365E" w14:textId="77777777" w:rsidR="007C1F08" w:rsidRPr="007C1F08" w:rsidRDefault="007C1F08" w:rsidP="007C1F08">
            <w:pPr>
              <w:numPr>
                <w:ilvl w:val="0"/>
                <w:numId w:val="19"/>
              </w:numPr>
              <w:spacing w:before="120"/>
              <w:rPr>
                <w:iCs/>
              </w:rPr>
            </w:pPr>
            <w:r w:rsidRPr="007C1F08">
              <w:rPr>
                <w:b/>
                <w:bCs/>
                <w:iCs/>
              </w:rPr>
              <w:t>Academic Progress</w:t>
            </w:r>
            <w:r w:rsidRPr="007C1F08">
              <w:rPr>
                <w:iCs/>
              </w:rPr>
              <w:t>: Disadvantaged pupils make accelerated progress, narrowing the attainment gap.</w:t>
            </w:r>
          </w:p>
          <w:p w14:paraId="10BF75CA" w14:textId="77777777" w:rsidR="007C1F08" w:rsidRPr="007C1F08" w:rsidRDefault="007C1F08" w:rsidP="007C1F08">
            <w:pPr>
              <w:numPr>
                <w:ilvl w:val="0"/>
                <w:numId w:val="19"/>
              </w:numPr>
              <w:spacing w:before="120"/>
              <w:rPr>
                <w:iCs/>
              </w:rPr>
            </w:pPr>
            <w:r w:rsidRPr="007C1F08">
              <w:rPr>
                <w:b/>
                <w:bCs/>
                <w:iCs/>
              </w:rPr>
              <w:t>Language and Literacy</w:t>
            </w:r>
            <w:r w:rsidRPr="007C1F08">
              <w:rPr>
                <w:iCs/>
              </w:rPr>
              <w:t>: Improved early communication and reading outcomes lead to sustained academic success.</w:t>
            </w:r>
          </w:p>
          <w:p w14:paraId="1C167E5B" w14:textId="77777777" w:rsidR="007C1F08" w:rsidRPr="007C1F08" w:rsidRDefault="007C1F08" w:rsidP="007C1F08">
            <w:pPr>
              <w:numPr>
                <w:ilvl w:val="0"/>
                <w:numId w:val="19"/>
              </w:numPr>
              <w:spacing w:before="120"/>
              <w:rPr>
                <w:iCs/>
              </w:rPr>
            </w:pPr>
            <w:r w:rsidRPr="007C1F08">
              <w:rPr>
                <w:b/>
                <w:bCs/>
                <w:iCs/>
              </w:rPr>
              <w:t>Equity in Challenge</w:t>
            </w:r>
            <w:r w:rsidRPr="007C1F08">
              <w:rPr>
                <w:iCs/>
              </w:rPr>
              <w:t>: High-attaining disadvantaged pupils are supported to reach greater depth.</w:t>
            </w:r>
          </w:p>
          <w:p w14:paraId="2A7D54E9" w14:textId="3E71DAAC" w:rsidR="00E66558" w:rsidRPr="007C1F08" w:rsidRDefault="007C1F08" w:rsidP="00C71D3D">
            <w:pPr>
              <w:numPr>
                <w:ilvl w:val="0"/>
                <w:numId w:val="19"/>
              </w:numPr>
              <w:spacing w:before="120"/>
              <w:rPr>
                <w:iCs/>
              </w:rPr>
            </w:pPr>
            <w:r w:rsidRPr="007C1F08">
              <w:rPr>
                <w:b/>
                <w:bCs/>
                <w:iCs/>
              </w:rPr>
              <w:t>Wellbeing and Engagement</w:t>
            </w:r>
            <w:r w:rsidRPr="007C1F08">
              <w:rPr>
                <w:iCs/>
              </w:rPr>
              <w:t>: Pupils feel emotionally supported, leading to improved attendance, behaviour, and engagement in learning.</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F873B5" w14:paraId="2A7D54F2" w14:textId="77777777" w:rsidTr="0044081C">
        <w:tc>
          <w:tcPr>
            <w:tcW w:w="147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0" w14:textId="020317C9" w:rsidR="00F873B5" w:rsidRDefault="00F873B5" w:rsidP="00F873B5">
            <w:pPr>
              <w:pStyle w:val="TableRow"/>
              <w:ind w:left="0" w:right="0"/>
              <w:rPr>
                <w:sz w:val="22"/>
                <w:szCs w:val="22"/>
              </w:rPr>
            </w:pPr>
            <w:r>
              <w:rPr>
                <w:color w:val="000000"/>
                <w:position w:val="-3"/>
              </w:rPr>
              <w:t>1</w:t>
            </w:r>
          </w:p>
        </w:tc>
        <w:tc>
          <w:tcPr>
            <w:tcW w:w="800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1" w14:textId="5A7030BE" w:rsidR="00F873B5" w:rsidRDefault="00F873B5" w:rsidP="00F873B5">
            <w:pPr>
              <w:pStyle w:val="TableRowCentered"/>
              <w:ind w:left="0" w:right="0"/>
              <w:jc w:val="left"/>
            </w:pPr>
            <w:r>
              <w:rPr>
                <w:color w:val="000000"/>
                <w:position w:val="-3"/>
                <w:szCs w:val="24"/>
              </w:rPr>
              <w:t>Low attendance and persistent absence among disadvantaged pupils: Attendance is below national expectations; persistent absence disproportionately affects disadvantaged and SEND pupils and reduces curriculum access.</w:t>
            </w:r>
          </w:p>
        </w:tc>
      </w:tr>
      <w:tr w:rsidR="00F873B5" w14:paraId="2A7D54F5" w14:textId="77777777" w:rsidTr="0044081C">
        <w:tc>
          <w:tcPr>
            <w:tcW w:w="147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3" w14:textId="4021D29F" w:rsidR="00F873B5" w:rsidRDefault="00F873B5" w:rsidP="00F873B5">
            <w:pPr>
              <w:pStyle w:val="TableRow"/>
              <w:ind w:left="0" w:right="0"/>
              <w:rPr>
                <w:sz w:val="22"/>
                <w:szCs w:val="22"/>
              </w:rPr>
            </w:pPr>
            <w:r>
              <w:rPr>
                <w:color w:val="000000"/>
                <w:position w:val="-3"/>
              </w:rPr>
              <w:t>2</w:t>
            </w:r>
          </w:p>
        </w:tc>
        <w:tc>
          <w:tcPr>
            <w:tcW w:w="800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4" w14:textId="6BFE90A1" w:rsidR="00F873B5" w:rsidRPr="0034216A" w:rsidRDefault="00F873B5" w:rsidP="00F873B5">
            <w:pPr>
              <w:pStyle w:val="TableRowCentered"/>
              <w:ind w:left="0"/>
              <w:jc w:val="left"/>
              <w:rPr>
                <w:i/>
                <w:sz w:val="22"/>
                <w:szCs w:val="22"/>
              </w:rPr>
            </w:pPr>
            <w:r>
              <w:rPr>
                <w:color w:val="000000"/>
                <w:position w:val="-3"/>
                <w:szCs w:val="24"/>
              </w:rPr>
              <w:t>Low entry levels to school (Early Years): Reception/Nursery baseline is low overall; GLD 2025 = 64% (below national 68%). A substantial proportion of pupils (41% of cohort in EYFS) are disadvantaged; language and communication deficits reduce readiness to access Phonics and early reading.</w:t>
            </w:r>
          </w:p>
        </w:tc>
      </w:tr>
      <w:tr w:rsidR="00F873B5" w14:paraId="2A7D54F8" w14:textId="77777777" w:rsidTr="0044081C">
        <w:tc>
          <w:tcPr>
            <w:tcW w:w="147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6" w14:textId="43E204D1" w:rsidR="00F873B5" w:rsidRDefault="00F873B5" w:rsidP="00F873B5">
            <w:pPr>
              <w:pStyle w:val="TableRow"/>
              <w:ind w:left="0" w:right="0"/>
              <w:rPr>
                <w:sz w:val="22"/>
                <w:szCs w:val="22"/>
              </w:rPr>
            </w:pPr>
            <w:r>
              <w:rPr>
                <w:color w:val="000000"/>
                <w:position w:val="-3"/>
              </w:rPr>
              <w:t>3</w:t>
            </w:r>
          </w:p>
        </w:tc>
        <w:tc>
          <w:tcPr>
            <w:tcW w:w="800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7" w14:textId="2DEFB4A7" w:rsidR="00F873B5" w:rsidRPr="00DF06E5" w:rsidRDefault="00F873B5" w:rsidP="00F873B5">
            <w:pPr>
              <w:pStyle w:val="TableRowCentered"/>
              <w:ind w:left="0" w:right="0"/>
              <w:jc w:val="left"/>
              <w:rPr>
                <w:i/>
                <w:sz w:val="22"/>
                <w:szCs w:val="22"/>
              </w:rPr>
            </w:pPr>
            <w:r>
              <w:rPr>
                <w:color w:val="000000"/>
                <w:position w:val="-3"/>
                <w:szCs w:val="24"/>
              </w:rPr>
              <w:t>Phonics, early reading and Key Stage 1 outcomes: Y1 Phonics for disadvantaged pupils is 57% (below national Other 83% and below national disadvantaged benchmarks). Vulnerable readers need swift, evidence-based catch-up to avoid later gaps.</w:t>
            </w:r>
          </w:p>
        </w:tc>
      </w:tr>
      <w:tr w:rsidR="00F873B5" w14:paraId="2A7D54FB" w14:textId="77777777" w:rsidTr="0044081C">
        <w:tc>
          <w:tcPr>
            <w:tcW w:w="147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9" w14:textId="6A1E9936" w:rsidR="00F873B5" w:rsidRDefault="00F873B5" w:rsidP="00F873B5">
            <w:pPr>
              <w:pStyle w:val="TableRow"/>
              <w:ind w:left="0" w:right="0"/>
              <w:rPr>
                <w:sz w:val="22"/>
                <w:szCs w:val="22"/>
              </w:rPr>
            </w:pPr>
            <w:r>
              <w:rPr>
                <w:color w:val="000000"/>
                <w:position w:val="-3"/>
              </w:rPr>
              <w:t>4</w:t>
            </w:r>
          </w:p>
        </w:tc>
        <w:tc>
          <w:tcPr>
            <w:tcW w:w="800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A" w14:textId="1E893C05" w:rsidR="00F873B5" w:rsidRPr="002B1F30" w:rsidRDefault="00F873B5" w:rsidP="00F873B5">
            <w:pPr>
              <w:pStyle w:val="TableRowCentered"/>
              <w:ind w:left="0" w:right="0"/>
              <w:jc w:val="left"/>
              <w:rPr>
                <w:i/>
                <w:iCs/>
                <w:sz w:val="22"/>
              </w:rPr>
            </w:pPr>
            <w:r>
              <w:rPr>
                <w:color w:val="000000"/>
                <w:position w:val="-3"/>
                <w:szCs w:val="24"/>
              </w:rPr>
              <w:t>Lower outcomes in combined RWM and subject-specific gaps at KS2 / KS1: 2025 RWM combined for disadvantaged 38% vs National Other 70% — large attainment gap in core subjects, particularly maths and writing for disadvantaged pupils.</w:t>
            </w:r>
          </w:p>
        </w:tc>
      </w:tr>
      <w:tr w:rsidR="00F873B5" w14:paraId="2A7D54FE" w14:textId="77777777" w:rsidTr="0044081C">
        <w:tc>
          <w:tcPr>
            <w:tcW w:w="147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C" w14:textId="0237B6F3" w:rsidR="00F873B5" w:rsidRDefault="00F873B5" w:rsidP="00F873B5">
            <w:pPr>
              <w:pStyle w:val="TableRow"/>
              <w:ind w:left="0" w:right="0"/>
              <w:rPr>
                <w:sz w:val="22"/>
                <w:szCs w:val="22"/>
              </w:rPr>
            </w:pPr>
            <w:r>
              <w:rPr>
                <w:color w:val="000000"/>
                <w:position w:val="-3"/>
              </w:rPr>
              <w:t>5</w:t>
            </w:r>
          </w:p>
        </w:tc>
        <w:tc>
          <w:tcPr>
            <w:tcW w:w="800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4FD" w14:textId="6F70EC87" w:rsidR="00F873B5" w:rsidRPr="00205C17" w:rsidRDefault="00F873B5" w:rsidP="00F873B5">
            <w:pPr>
              <w:pStyle w:val="TableRowCentered"/>
              <w:ind w:left="0" w:right="0"/>
              <w:jc w:val="left"/>
              <w:rPr>
                <w:i/>
                <w:iCs/>
                <w:sz w:val="22"/>
              </w:rPr>
            </w:pPr>
            <w:r>
              <w:rPr>
                <w:color w:val="000000"/>
                <w:position w:val="-3"/>
                <w:szCs w:val="24"/>
              </w:rPr>
              <w:t>Social, emotional &amp; mental health (SEMH) and behaviour: Increasing numbers with SEMH needs (including high levels of social care / Early Help). SEMH needs reduce engagement, concentrate difficulties, and limit learning.</w:t>
            </w:r>
          </w:p>
        </w:tc>
      </w:tr>
      <w:tr w:rsidR="00F873B5" w14:paraId="0925E4E4" w14:textId="77777777" w:rsidTr="0044081C">
        <w:tc>
          <w:tcPr>
            <w:tcW w:w="1477"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F2B36A2" w14:textId="5A2EDF31" w:rsidR="00F873B5" w:rsidRDefault="00F873B5" w:rsidP="00F873B5">
            <w:pPr>
              <w:pStyle w:val="TableRow"/>
              <w:ind w:left="0" w:right="0"/>
              <w:rPr>
                <w:sz w:val="22"/>
                <w:szCs w:val="22"/>
              </w:rPr>
            </w:pPr>
            <w:r>
              <w:rPr>
                <w:color w:val="000000"/>
                <w:position w:val="-3"/>
              </w:rPr>
              <w:t>6</w:t>
            </w:r>
          </w:p>
        </w:tc>
        <w:tc>
          <w:tcPr>
            <w:tcW w:w="8009"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37DBDFCF" w14:textId="53354739" w:rsidR="00F873B5" w:rsidRPr="00205C17" w:rsidRDefault="00F873B5" w:rsidP="00F873B5">
            <w:pPr>
              <w:pStyle w:val="TableRowCentered"/>
              <w:ind w:left="0" w:right="0"/>
              <w:jc w:val="left"/>
              <w:rPr>
                <w:i/>
                <w:iCs/>
                <w:sz w:val="22"/>
              </w:rPr>
            </w:pPr>
            <w:r>
              <w:rPr>
                <w:color w:val="000000"/>
                <w:position w:val="-3"/>
                <w:szCs w:val="24"/>
              </w:rPr>
              <w:t>Limited life experiences and cultural capital: High local deprivation (IDACI data) means many disadvantaged pupils have restricted extracurricular and cultural learning opportunities which reduces engagement, vocabulary and curriculum knowledge.</w:t>
            </w:r>
          </w:p>
        </w:tc>
      </w:tr>
    </w:tbl>
    <w:p w14:paraId="2A7D54FF" w14:textId="77777777" w:rsidR="00E66558" w:rsidRDefault="009D71E8">
      <w:pPr>
        <w:pStyle w:val="Heading2"/>
        <w:spacing w:before="600"/>
      </w:pPr>
      <w:bookmarkStart w:id="16" w:name="_Toc443397160"/>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1980"/>
        <w:gridCol w:w="7506"/>
      </w:tblGrid>
      <w:tr w:rsidR="00E66558" w14:paraId="2A7D5503" w14:textId="77777777" w:rsidTr="006C4E33">
        <w:tc>
          <w:tcPr>
            <w:tcW w:w="19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7506"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4C41E6" w14:paraId="2A7D5506" w14:textId="77777777" w:rsidTr="006C4E33">
        <w:tc>
          <w:tcPr>
            <w:tcW w:w="198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04" w14:textId="68CA9032" w:rsidR="004C41E6" w:rsidRDefault="004C41E6" w:rsidP="004C41E6">
            <w:pPr>
              <w:pStyle w:val="TableRow"/>
              <w:ind w:left="0" w:right="0"/>
            </w:pPr>
            <w:r>
              <w:rPr>
                <w:color w:val="000000"/>
                <w:position w:val="-3"/>
              </w:rPr>
              <w:t>A. Improve attendance and reduce persistent absence</w:t>
            </w:r>
          </w:p>
        </w:tc>
        <w:tc>
          <w:tcPr>
            <w:tcW w:w="750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806960D" w14:textId="44D1285B" w:rsidR="00594947" w:rsidRPr="00594947" w:rsidRDefault="00594947" w:rsidP="00594947">
            <w:pPr>
              <w:pStyle w:val="TableRowCentered"/>
              <w:jc w:val="left"/>
              <w:rPr>
                <w:color w:val="000000"/>
                <w:position w:val="-3"/>
              </w:rPr>
            </w:pPr>
            <w:r w:rsidRPr="00594947">
              <w:rPr>
                <w:b/>
                <w:bCs/>
                <w:color w:val="000000"/>
                <w:position w:val="-3"/>
              </w:rPr>
              <w:t>Whole-school attendance</w:t>
            </w:r>
            <w:r w:rsidRPr="00594947">
              <w:rPr>
                <w:color w:val="000000"/>
                <w:position w:val="-3"/>
              </w:rPr>
              <w:t xml:space="preserve">: Aim for </w:t>
            </w:r>
            <w:r w:rsidRPr="00594947">
              <w:rPr>
                <w:b/>
                <w:bCs/>
                <w:color w:val="000000"/>
                <w:position w:val="-3"/>
              </w:rPr>
              <w:t>9</w:t>
            </w:r>
            <w:r w:rsidR="00F6755B">
              <w:rPr>
                <w:b/>
                <w:bCs/>
                <w:color w:val="000000"/>
                <w:position w:val="-3"/>
              </w:rPr>
              <w:t>4</w:t>
            </w:r>
            <w:r w:rsidR="00B358D3">
              <w:rPr>
                <w:b/>
                <w:bCs/>
                <w:color w:val="000000"/>
                <w:position w:val="-3"/>
              </w:rPr>
              <w:t>.8</w:t>
            </w:r>
            <w:r w:rsidRPr="00594947">
              <w:rPr>
                <w:b/>
                <w:bCs/>
                <w:color w:val="000000"/>
                <w:position w:val="-3"/>
              </w:rPr>
              <w:t>% or higher by July 202</w:t>
            </w:r>
            <w:r w:rsidR="00F6755B">
              <w:rPr>
                <w:b/>
                <w:bCs/>
                <w:color w:val="000000"/>
                <w:position w:val="-3"/>
              </w:rPr>
              <w:t>6</w:t>
            </w:r>
            <w:r w:rsidRPr="00594947">
              <w:rPr>
                <w:color w:val="000000"/>
                <w:position w:val="-3"/>
              </w:rPr>
              <w:t xml:space="preserve">. </w:t>
            </w:r>
          </w:p>
          <w:p w14:paraId="7BC60F9C" w14:textId="22E003FB" w:rsidR="0037782D" w:rsidRDefault="00594947" w:rsidP="0037782D">
            <w:pPr>
              <w:pStyle w:val="TableRowCentered"/>
              <w:jc w:val="left"/>
              <w:rPr>
                <w:b/>
                <w:bCs/>
                <w:color w:val="000000"/>
                <w:position w:val="-3"/>
              </w:rPr>
            </w:pPr>
            <w:r w:rsidRPr="00594947">
              <w:rPr>
                <w:b/>
                <w:bCs/>
                <w:color w:val="000000"/>
                <w:position w:val="-3"/>
              </w:rPr>
              <w:t>Persistent absence</w:t>
            </w:r>
            <w:r w:rsidRPr="00594947">
              <w:rPr>
                <w:color w:val="000000"/>
                <w:position w:val="-3"/>
              </w:rPr>
              <w:t xml:space="preserve">: Reduce the number of disadvantaged pupils missing </w:t>
            </w:r>
            <w:r w:rsidRPr="00594947">
              <w:rPr>
                <w:b/>
                <w:bCs/>
                <w:color w:val="000000"/>
                <w:position w:val="-3"/>
              </w:rPr>
              <w:t>10% or more sessions</w:t>
            </w:r>
            <w:r w:rsidR="00B358D3">
              <w:rPr>
                <w:b/>
                <w:bCs/>
                <w:color w:val="000000"/>
                <w:position w:val="-3"/>
              </w:rPr>
              <w:t xml:space="preserve"> to be closer to </w:t>
            </w:r>
            <w:r w:rsidR="00913B68">
              <w:rPr>
                <w:b/>
                <w:bCs/>
                <w:color w:val="000000"/>
                <w:position w:val="-3"/>
              </w:rPr>
              <w:t>national averages.</w:t>
            </w:r>
          </w:p>
          <w:p w14:paraId="2A7D5505" w14:textId="7851D320" w:rsidR="004C41E6" w:rsidRDefault="00594947" w:rsidP="0037782D">
            <w:pPr>
              <w:pStyle w:val="TableRowCentered"/>
              <w:jc w:val="left"/>
              <w:rPr>
                <w:sz w:val="22"/>
                <w:szCs w:val="22"/>
              </w:rPr>
            </w:pPr>
            <w:r w:rsidRPr="00594947">
              <w:rPr>
                <w:b/>
                <w:bCs/>
                <w:color w:val="000000"/>
                <w:position w:val="-3"/>
                <w:szCs w:val="24"/>
              </w:rPr>
              <w:lastRenderedPageBreak/>
              <w:t>Support for chronic absence</w:t>
            </w:r>
            <w:r w:rsidRPr="00594947">
              <w:rPr>
                <w:color w:val="000000"/>
                <w:position w:val="-3"/>
                <w:szCs w:val="24"/>
              </w:rPr>
              <w:t xml:space="preserve">: Each term, ensure pupils with ongoing attendance issues have </w:t>
            </w:r>
            <w:r w:rsidRPr="00594947">
              <w:rPr>
                <w:b/>
                <w:bCs/>
                <w:color w:val="000000"/>
                <w:position w:val="-3"/>
                <w:szCs w:val="24"/>
              </w:rPr>
              <w:t>clear multi-agency plans in place</w:t>
            </w:r>
            <w:r w:rsidRPr="00594947">
              <w:rPr>
                <w:color w:val="000000"/>
                <w:position w:val="-3"/>
                <w:szCs w:val="24"/>
              </w:rPr>
              <w:t xml:space="preserve"> and show </w:t>
            </w:r>
            <w:r w:rsidRPr="00594947">
              <w:rPr>
                <w:b/>
                <w:bCs/>
                <w:color w:val="000000"/>
                <w:position w:val="-3"/>
                <w:szCs w:val="24"/>
              </w:rPr>
              <w:t>evidence of improved family engagement</w:t>
            </w:r>
            <w:r w:rsidRPr="00594947">
              <w:rPr>
                <w:color w:val="000000"/>
                <w:position w:val="-3"/>
                <w:szCs w:val="24"/>
              </w:rPr>
              <w:t xml:space="preserve"> (e.g., meeting records, home-school plans).</w:t>
            </w:r>
          </w:p>
        </w:tc>
      </w:tr>
      <w:tr w:rsidR="004C41E6" w14:paraId="2A7D5509" w14:textId="77777777" w:rsidTr="006C4E33">
        <w:tc>
          <w:tcPr>
            <w:tcW w:w="198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07" w14:textId="17A46DB9" w:rsidR="004C41E6" w:rsidRPr="004F25FA" w:rsidRDefault="004C41E6" w:rsidP="004C41E6">
            <w:pPr>
              <w:pStyle w:val="TableRow"/>
              <w:ind w:left="0" w:right="0"/>
              <w:rPr>
                <w:i/>
                <w:sz w:val="22"/>
                <w:szCs w:val="22"/>
              </w:rPr>
            </w:pPr>
            <w:r>
              <w:rPr>
                <w:color w:val="000000"/>
                <w:position w:val="-3"/>
              </w:rPr>
              <w:lastRenderedPageBreak/>
              <w:t>B. Raise Early Years readiness and GLD for disadvantaged pupils</w:t>
            </w:r>
          </w:p>
        </w:tc>
        <w:tc>
          <w:tcPr>
            <w:tcW w:w="750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5C2FA402" w14:textId="28FCB231" w:rsidR="00FC7589" w:rsidRPr="00FC7589" w:rsidRDefault="00FC7589" w:rsidP="00FC7589">
            <w:pPr>
              <w:pStyle w:val="TableRowCentered"/>
              <w:jc w:val="left"/>
              <w:rPr>
                <w:color w:val="000000"/>
                <w:position w:val="-3"/>
              </w:rPr>
            </w:pPr>
            <w:r w:rsidRPr="00FC7589">
              <w:rPr>
                <w:b/>
                <w:bCs/>
                <w:color w:val="000000"/>
                <w:position w:val="-3"/>
              </w:rPr>
              <w:t>Reception GLD (Good Level of Development)</w:t>
            </w:r>
            <w:r w:rsidRPr="00FC7589">
              <w:rPr>
                <w:color w:val="000000"/>
                <w:position w:val="-3"/>
              </w:rPr>
              <w:t>:</w:t>
            </w:r>
          </w:p>
          <w:p w14:paraId="2AB3C3A2" w14:textId="77777777" w:rsidR="00FC7589" w:rsidRPr="00FC7589" w:rsidRDefault="00FC7589" w:rsidP="00FC7589">
            <w:pPr>
              <w:pStyle w:val="TableRowCentered"/>
              <w:jc w:val="left"/>
              <w:rPr>
                <w:color w:val="000000"/>
                <w:position w:val="-3"/>
              </w:rPr>
            </w:pPr>
            <w:r w:rsidRPr="00FC7589">
              <w:rPr>
                <w:color w:val="000000"/>
                <w:position w:val="-3"/>
              </w:rPr>
              <w:t xml:space="preserve">Increase from </w:t>
            </w:r>
            <w:r w:rsidRPr="00FC7589">
              <w:rPr>
                <w:b/>
                <w:bCs/>
                <w:color w:val="000000"/>
                <w:position w:val="-3"/>
              </w:rPr>
              <w:t>64% to at least 68% within one year</w:t>
            </w:r>
            <w:r w:rsidRPr="00FC7589">
              <w:rPr>
                <w:color w:val="000000"/>
                <w:position w:val="-3"/>
              </w:rPr>
              <w:t>.</w:t>
            </w:r>
          </w:p>
          <w:p w14:paraId="3426227E" w14:textId="15049821" w:rsidR="00FC7589" w:rsidRPr="00FC7589" w:rsidRDefault="00FC7589" w:rsidP="00FC7589">
            <w:pPr>
              <w:pStyle w:val="TableRowCentered"/>
              <w:jc w:val="left"/>
              <w:rPr>
                <w:color w:val="000000"/>
                <w:position w:val="-3"/>
              </w:rPr>
            </w:pPr>
            <w:r w:rsidRPr="00FC7589">
              <w:rPr>
                <w:b/>
                <w:bCs/>
                <w:color w:val="000000"/>
                <w:position w:val="-3"/>
              </w:rPr>
              <w:t>Disadvantaged pupils in Reception</w:t>
            </w:r>
            <w:r w:rsidRPr="00FC7589">
              <w:rPr>
                <w:color w:val="000000"/>
                <w:position w:val="-3"/>
              </w:rPr>
              <w:t>:</w:t>
            </w:r>
          </w:p>
          <w:p w14:paraId="360610F8" w14:textId="094523A2" w:rsidR="00FC7589" w:rsidRPr="00FC7589" w:rsidRDefault="00FC7589" w:rsidP="00FC7589">
            <w:pPr>
              <w:pStyle w:val="TableRowCentered"/>
              <w:jc w:val="left"/>
              <w:rPr>
                <w:color w:val="000000"/>
                <w:position w:val="-3"/>
              </w:rPr>
            </w:pPr>
            <w:r w:rsidRPr="00FC7589">
              <w:rPr>
                <w:color w:val="000000"/>
                <w:position w:val="-3"/>
              </w:rPr>
              <w:t xml:space="preserve">Achieve </w:t>
            </w:r>
            <w:r w:rsidRPr="00FC7589">
              <w:rPr>
                <w:b/>
                <w:bCs/>
                <w:color w:val="000000"/>
                <w:position w:val="-3"/>
              </w:rPr>
              <w:t>national disadvantaged averages within two years</w:t>
            </w:r>
            <w:r w:rsidRPr="00FC7589">
              <w:rPr>
                <w:color w:val="000000"/>
                <w:position w:val="-3"/>
              </w:rPr>
              <w:t>,</w:t>
            </w:r>
            <w:r>
              <w:rPr>
                <w:color w:val="000000"/>
                <w:position w:val="-3"/>
              </w:rPr>
              <w:t xml:space="preserve"> </w:t>
            </w:r>
            <w:r w:rsidRPr="00FC7589">
              <w:rPr>
                <w:b/>
                <w:bCs/>
                <w:color w:val="000000"/>
                <w:position w:val="-3"/>
              </w:rPr>
              <w:t>or</w:t>
            </w:r>
            <w:r w:rsidRPr="00FC7589">
              <w:rPr>
                <w:color w:val="000000"/>
                <w:position w:val="-3"/>
              </w:rPr>
              <w:t xml:space="preserve"> make at least </w:t>
            </w:r>
            <w:r w:rsidRPr="00FC7589">
              <w:rPr>
                <w:b/>
                <w:bCs/>
                <w:color w:val="000000"/>
                <w:position w:val="-3"/>
              </w:rPr>
              <w:t>6 months of accelerated progress</w:t>
            </w:r>
            <w:r w:rsidRPr="00FC7589">
              <w:rPr>
                <w:color w:val="000000"/>
                <w:position w:val="-3"/>
              </w:rPr>
              <w:t>, measured by internal EY trackers.</w:t>
            </w:r>
          </w:p>
          <w:p w14:paraId="2A7D5508" w14:textId="174C10DD" w:rsidR="004C41E6" w:rsidRPr="00C657C4" w:rsidRDefault="004C41E6" w:rsidP="004C41E6">
            <w:pPr>
              <w:pStyle w:val="TableRowCentered"/>
              <w:ind w:left="0" w:right="0"/>
              <w:jc w:val="left"/>
              <w:rPr>
                <w:sz w:val="22"/>
                <w:szCs w:val="22"/>
              </w:rPr>
            </w:pPr>
          </w:p>
        </w:tc>
      </w:tr>
      <w:tr w:rsidR="004C41E6" w14:paraId="2A7D550C" w14:textId="77777777" w:rsidTr="006C4E33">
        <w:tc>
          <w:tcPr>
            <w:tcW w:w="198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0A" w14:textId="7A1E796B" w:rsidR="004C41E6" w:rsidRPr="00E46468" w:rsidRDefault="004C41E6" w:rsidP="004C41E6">
            <w:pPr>
              <w:pStyle w:val="TableRow"/>
              <w:ind w:left="0" w:right="0"/>
              <w:rPr>
                <w:i/>
                <w:sz w:val="22"/>
                <w:szCs w:val="22"/>
              </w:rPr>
            </w:pPr>
            <w:r>
              <w:rPr>
                <w:color w:val="000000"/>
                <w:position w:val="-3"/>
              </w:rPr>
              <w:t>C. Improve early reading and Y1 Phonics outcomes for disadvantaged pupils</w:t>
            </w:r>
          </w:p>
        </w:tc>
        <w:tc>
          <w:tcPr>
            <w:tcW w:w="750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C570610" w14:textId="1D22E31D" w:rsidR="00340B02" w:rsidRPr="00340B02" w:rsidRDefault="00340B02" w:rsidP="00340B02">
            <w:pPr>
              <w:pStyle w:val="TableRowCentered"/>
              <w:jc w:val="left"/>
              <w:rPr>
                <w:color w:val="000000"/>
                <w:position w:val="-3"/>
              </w:rPr>
            </w:pPr>
            <w:r w:rsidRPr="00340B02">
              <w:rPr>
                <w:b/>
                <w:bCs/>
                <w:color w:val="000000"/>
                <w:position w:val="-3"/>
              </w:rPr>
              <w:t>Year 1 Phonics Check (Disadvantaged Pupils)</w:t>
            </w:r>
            <w:r w:rsidRPr="00340B02">
              <w:rPr>
                <w:color w:val="000000"/>
                <w:position w:val="-3"/>
              </w:rPr>
              <w:t>:</w:t>
            </w:r>
          </w:p>
          <w:p w14:paraId="21906FAD" w14:textId="77777777" w:rsidR="00340B02" w:rsidRPr="00340B02" w:rsidRDefault="00340B02" w:rsidP="00340B02">
            <w:pPr>
              <w:pStyle w:val="TableRowCentered"/>
              <w:jc w:val="left"/>
              <w:rPr>
                <w:color w:val="000000"/>
                <w:position w:val="-3"/>
              </w:rPr>
            </w:pPr>
            <w:r w:rsidRPr="00340B02">
              <w:rPr>
                <w:color w:val="000000"/>
                <w:position w:val="-3"/>
              </w:rPr>
              <w:t xml:space="preserve">Increase pass rate from </w:t>
            </w:r>
            <w:r w:rsidRPr="00340B02">
              <w:rPr>
                <w:b/>
                <w:bCs/>
                <w:color w:val="000000"/>
                <w:position w:val="-3"/>
              </w:rPr>
              <w:t>57% to at least the national disadvantaged benchmark (≥67%) within one year</w:t>
            </w:r>
            <w:r w:rsidRPr="00340B02">
              <w:rPr>
                <w:color w:val="000000"/>
                <w:position w:val="-3"/>
              </w:rPr>
              <w:t>.</w:t>
            </w:r>
          </w:p>
          <w:p w14:paraId="05351B0C" w14:textId="20230536" w:rsidR="00340B02" w:rsidRPr="00340B02" w:rsidRDefault="00340B02" w:rsidP="008C590C">
            <w:pPr>
              <w:pStyle w:val="TableRowCentered"/>
              <w:jc w:val="left"/>
              <w:rPr>
                <w:color w:val="000000"/>
                <w:position w:val="-3"/>
              </w:rPr>
            </w:pPr>
            <w:r w:rsidRPr="00340B02">
              <w:rPr>
                <w:b/>
                <w:bCs/>
                <w:color w:val="000000"/>
                <w:position w:val="-3"/>
              </w:rPr>
              <w:t>Targeted Phonics Interventions</w:t>
            </w:r>
            <w:r w:rsidRPr="00340B02">
              <w:rPr>
                <w:color w:val="000000"/>
                <w:position w:val="-3"/>
              </w:rPr>
              <w:t>:</w:t>
            </w:r>
          </w:p>
          <w:p w14:paraId="615B4D56" w14:textId="77777777" w:rsidR="00340B02" w:rsidRPr="00340B02" w:rsidRDefault="00340B02" w:rsidP="008C590C">
            <w:pPr>
              <w:pStyle w:val="TableRowCentered"/>
              <w:jc w:val="left"/>
              <w:rPr>
                <w:color w:val="000000"/>
                <w:position w:val="-3"/>
              </w:rPr>
            </w:pPr>
            <w:r w:rsidRPr="00340B02">
              <w:rPr>
                <w:color w:val="000000"/>
                <w:position w:val="-3"/>
              </w:rPr>
              <w:t xml:space="preserve">Pupils in interventions show </w:t>
            </w:r>
            <w:r w:rsidRPr="00340B02">
              <w:rPr>
                <w:b/>
                <w:bCs/>
                <w:color w:val="000000"/>
                <w:position w:val="-3"/>
              </w:rPr>
              <w:t>measurable progress</w:t>
            </w:r>
            <w:r w:rsidRPr="00340B02">
              <w:rPr>
                <w:color w:val="000000"/>
                <w:position w:val="-3"/>
              </w:rPr>
              <w:t xml:space="preserve">, assessed </w:t>
            </w:r>
            <w:r w:rsidRPr="00340B02">
              <w:rPr>
                <w:b/>
                <w:bCs/>
                <w:color w:val="000000"/>
                <w:position w:val="-3"/>
              </w:rPr>
              <w:t>every 6 weeks</w:t>
            </w:r>
            <w:r w:rsidRPr="00340B02">
              <w:rPr>
                <w:color w:val="000000"/>
                <w:position w:val="-3"/>
              </w:rPr>
              <w:t xml:space="preserve">, with an </w:t>
            </w:r>
            <w:r w:rsidRPr="00340B02">
              <w:rPr>
                <w:b/>
                <w:bCs/>
                <w:color w:val="000000"/>
                <w:position w:val="-3"/>
              </w:rPr>
              <w:t>average impact of +4 to +8 months</w:t>
            </w:r>
            <w:r w:rsidRPr="00340B02">
              <w:rPr>
                <w:color w:val="000000"/>
                <w:position w:val="-3"/>
              </w:rPr>
              <w:t xml:space="preserve"> (based on EEF guidance).</w:t>
            </w:r>
          </w:p>
          <w:p w14:paraId="2A7D550B" w14:textId="1B8A8683" w:rsidR="004C41E6" w:rsidRPr="00094929" w:rsidRDefault="004C41E6" w:rsidP="004C41E6">
            <w:pPr>
              <w:pStyle w:val="TableRowCentered"/>
              <w:ind w:left="0" w:right="0"/>
              <w:jc w:val="left"/>
              <w:rPr>
                <w:sz w:val="22"/>
                <w:szCs w:val="22"/>
              </w:rPr>
            </w:pPr>
          </w:p>
        </w:tc>
      </w:tr>
      <w:tr w:rsidR="004C41E6" w14:paraId="2A7D550F" w14:textId="77777777" w:rsidTr="006C4E33">
        <w:tc>
          <w:tcPr>
            <w:tcW w:w="198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0D" w14:textId="7E1F75AF" w:rsidR="004C41E6" w:rsidRPr="00D250B5" w:rsidRDefault="004C41E6" w:rsidP="004C41E6">
            <w:pPr>
              <w:pStyle w:val="TableRow"/>
              <w:ind w:left="0" w:right="0"/>
              <w:rPr>
                <w:i/>
                <w:sz w:val="22"/>
                <w:szCs w:val="22"/>
              </w:rPr>
            </w:pPr>
            <w:r>
              <w:rPr>
                <w:color w:val="000000"/>
                <w:position w:val="-3"/>
              </w:rPr>
              <w:t>D. Increase attainment in RWM for disadvantaged pupils</w:t>
            </w:r>
          </w:p>
        </w:tc>
        <w:tc>
          <w:tcPr>
            <w:tcW w:w="750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9FCF4D2" w14:textId="2D5FA7C6" w:rsidR="00F253EA" w:rsidRPr="00F253EA" w:rsidRDefault="00F253EA" w:rsidP="00F253EA">
            <w:pPr>
              <w:pStyle w:val="TableRowCentered"/>
              <w:jc w:val="left"/>
              <w:rPr>
                <w:color w:val="000000"/>
                <w:position w:val="-3"/>
              </w:rPr>
            </w:pPr>
            <w:r w:rsidRPr="00F253EA">
              <w:rPr>
                <w:color w:val="000000"/>
                <w:position w:val="-3"/>
              </w:rPr>
              <w:t xml:space="preserve">Increase the percentage of disadvantaged pupils achieving the </w:t>
            </w:r>
            <w:r w:rsidRPr="00F253EA">
              <w:rPr>
                <w:b/>
                <w:bCs/>
                <w:color w:val="000000"/>
                <w:position w:val="-3"/>
              </w:rPr>
              <w:t>year-group expected standard</w:t>
            </w:r>
            <w:r w:rsidRPr="00F253EA">
              <w:rPr>
                <w:color w:val="000000"/>
                <w:position w:val="-3"/>
              </w:rPr>
              <w:t xml:space="preserve"> so </w:t>
            </w:r>
            <w:r w:rsidR="00BB1D9B">
              <w:rPr>
                <w:color w:val="000000"/>
                <w:position w:val="-3"/>
              </w:rPr>
              <w:t xml:space="preserve">that </w:t>
            </w:r>
            <w:r w:rsidRPr="00F253EA">
              <w:rPr>
                <w:color w:val="000000"/>
                <w:position w:val="-3"/>
              </w:rPr>
              <w:t xml:space="preserve">the </w:t>
            </w:r>
            <w:r w:rsidR="00307274">
              <w:rPr>
                <w:color w:val="000000"/>
                <w:position w:val="-3"/>
              </w:rPr>
              <w:t xml:space="preserve">attainment </w:t>
            </w:r>
            <w:r w:rsidRPr="00F253EA">
              <w:rPr>
                <w:color w:val="000000"/>
                <w:position w:val="-3"/>
              </w:rPr>
              <w:t>gap closes</w:t>
            </w:r>
            <w:r w:rsidR="00307274">
              <w:rPr>
                <w:color w:val="000000"/>
                <w:position w:val="-3"/>
              </w:rPr>
              <w:t>.</w:t>
            </w:r>
            <w:r w:rsidRPr="00F253EA">
              <w:rPr>
                <w:color w:val="000000"/>
                <w:position w:val="-3"/>
              </w:rPr>
              <w:t xml:space="preserve"> </w:t>
            </w:r>
          </w:p>
          <w:p w14:paraId="3674CDF2" w14:textId="77777777" w:rsidR="00F253EA" w:rsidRPr="00F253EA" w:rsidRDefault="00F253EA" w:rsidP="00BB1D9B">
            <w:pPr>
              <w:pStyle w:val="TableRowCentered"/>
              <w:jc w:val="left"/>
              <w:rPr>
                <w:color w:val="000000"/>
                <w:position w:val="-3"/>
              </w:rPr>
            </w:pPr>
            <w:r w:rsidRPr="00F253EA">
              <w:rPr>
                <w:color w:val="000000"/>
                <w:position w:val="-3"/>
              </w:rPr>
              <w:t xml:space="preserve">The proportion of disadvantaged pupils achieving </w:t>
            </w:r>
            <w:r w:rsidRPr="00F253EA">
              <w:rPr>
                <w:b/>
                <w:bCs/>
                <w:color w:val="000000"/>
                <w:position w:val="-3"/>
              </w:rPr>
              <w:t>Greater Depth or high scores</w:t>
            </w:r>
            <w:r w:rsidRPr="00F253EA">
              <w:rPr>
                <w:color w:val="000000"/>
                <w:position w:val="-3"/>
              </w:rPr>
              <w:t xml:space="preserve"> should </w:t>
            </w:r>
            <w:r w:rsidRPr="00F253EA">
              <w:rPr>
                <w:b/>
                <w:bCs/>
                <w:color w:val="000000"/>
                <w:position w:val="-3"/>
              </w:rPr>
              <w:t>increase every term</w:t>
            </w:r>
            <w:r w:rsidRPr="00F253EA">
              <w:rPr>
                <w:color w:val="000000"/>
                <w:position w:val="-3"/>
              </w:rPr>
              <w:t>.</w:t>
            </w:r>
          </w:p>
          <w:p w14:paraId="2A7D550E" w14:textId="635DA12C" w:rsidR="004C41E6" w:rsidRDefault="004C41E6" w:rsidP="004C41E6">
            <w:pPr>
              <w:pStyle w:val="TableRowCentered"/>
              <w:jc w:val="left"/>
              <w:rPr>
                <w:sz w:val="22"/>
                <w:szCs w:val="22"/>
              </w:rPr>
            </w:pPr>
          </w:p>
        </w:tc>
      </w:tr>
      <w:tr w:rsidR="004C41E6" w14:paraId="7F95CD03" w14:textId="77777777" w:rsidTr="006C4E33">
        <w:tc>
          <w:tcPr>
            <w:tcW w:w="198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4D95190" w14:textId="5FFA92FB" w:rsidR="004C41E6" w:rsidRPr="00D250B5" w:rsidRDefault="004C41E6" w:rsidP="004C41E6">
            <w:pPr>
              <w:pStyle w:val="TableRow"/>
              <w:ind w:left="0" w:right="0"/>
              <w:rPr>
                <w:i/>
                <w:sz w:val="22"/>
                <w:szCs w:val="22"/>
              </w:rPr>
            </w:pPr>
            <w:r>
              <w:rPr>
                <w:color w:val="000000"/>
                <w:position w:val="-3"/>
              </w:rPr>
              <w:t>E. Improve SEMH, behaviour and engagement</w:t>
            </w:r>
          </w:p>
        </w:tc>
        <w:tc>
          <w:tcPr>
            <w:tcW w:w="7506"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78AA8D3" w14:textId="2F202FB4" w:rsidR="009A1A68" w:rsidRPr="009A1A68" w:rsidRDefault="009A1A68" w:rsidP="009A1A68">
            <w:pPr>
              <w:pStyle w:val="TableRowCentered"/>
              <w:jc w:val="left"/>
              <w:rPr>
                <w:color w:val="000000"/>
                <w:position w:val="-3"/>
              </w:rPr>
            </w:pPr>
            <w:r w:rsidRPr="009A1A68">
              <w:rPr>
                <w:color w:val="000000"/>
                <w:position w:val="-3"/>
              </w:rPr>
              <w:t xml:space="preserve">Reduce logged behavioural incidents for targeted disadvantaged </w:t>
            </w:r>
            <w:proofErr w:type="gramStart"/>
            <w:r w:rsidRPr="009A1A68">
              <w:rPr>
                <w:color w:val="000000"/>
                <w:position w:val="-3"/>
              </w:rPr>
              <w:t>pupils,</w:t>
            </w:r>
            <w:r w:rsidR="00803E55">
              <w:rPr>
                <w:color w:val="000000"/>
                <w:position w:val="-3"/>
              </w:rPr>
              <w:t xml:space="preserve"> </w:t>
            </w:r>
            <w:r w:rsidRPr="009A1A68">
              <w:rPr>
                <w:b/>
                <w:bCs/>
                <w:color w:val="000000"/>
                <w:position w:val="-3"/>
              </w:rPr>
              <w:t>or</w:t>
            </w:r>
            <w:proofErr w:type="gramEnd"/>
            <w:r w:rsidRPr="009A1A68">
              <w:rPr>
                <w:color w:val="000000"/>
                <w:position w:val="-3"/>
              </w:rPr>
              <w:t xml:space="preserve"> show improvement using </w:t>
            </w:r>
            <w:r w:rsidRPr="009A1A68">
              <w:rPr>
                <w:b/>
                <w:bCs/>
                <w:color w:val="000000"/>
                <w:position w:val="-3"/>
              </w:rPr>
              <w:t>social-emotional learning (SEL) baseline tools</w:t>
            </w:r>
            <w:r w:rsidRPr="009A1A68">
              <w:rPr>
                <w:color w:val="000000"/>
                <w:position w:val="-3"/>
              </w:rPr>
              <w:t>.</w:t>
            </w:r>
          </w:p>
          <w:p w14:paraId="28FF90DD" w14:textId="77777777" w:rsidR="009A1A68" w:rsidRPr="009A1A68" w:rsidRDefault="009A1A68" w:rsidP="009A1A68">
            <w:pPr>
              <w:pStyle w:val="TableRowCentered"/>
              <w:jc w:val="left"/>
              <w:rPr>
                <w:color w:val="000000"/>
                <w:position w:val="-3"/>
              </w:rPr>
            </w:pPr>
            <w:r w:rsidRPr="009A1A68">
              <w:rPr>
                <w:color w:val="000000"/>
                <w:position w:val="-3"/>
              </w:rPr>
              <w:t xml:space="preserve">Increase disadvantaged pupils’ </w:t>
            </w:r>
            <w:r w:rsidRPr="009A1A68">
              <w:rPr>
                <w:b/>
                <w:bCs/>
                <w:color w:val="000000"/>
                <w:position w:val="-3"/>
              </w:rPr>
              <w:t>participation in class and extracurricular activities</w:t>
            </w:r>
            <w:r w:rsidRPr="009A1A68">
              <w:rPr>
                <w:color w:val="000000"/>
                <w:position w:val="-3"/>
              </w:rPr>
              <w:t>.</w:t>
            </w:r>
          </w:p>
          <w:p w14:paraId="6F65305F" w14:textId="77777777" w:rsidR="009A1A68" w:rsidRPr="009A1A68" w:rsidRDefault="009A1A68" w:rsidP="009A1A68">
            <w:pPr>
              <w:pStyle w:val="TableRowCentered"/>
              <w:jc w:val="left"/>
              <w:rPr>
                <w:color w:val="000000"/>
                <w:position w:val="-3"/>
              </w:rPr>
            </w:pPr>
            <w:r w:rsidRPr="009A1A68">
              <w:rPr>
                <w:color w:val="000000"/>
                <w:position w:val="-3"/>
              </w:rPr>
              <w:t xml:space="preserve">Record </w:t>
            </w:r>
            <w:r w:rsidRPr="009A1A68">
              <w:rPr>
                <w:b/>
                <w:bCs/>
                <w:color w:val="000000"/>
                <w:position w:val="-3"/>
              </w:rPr>
              <w:t>positive changes in wellbeing</w:t>
            </w:r>
            <w:r w:rsidRPr="009A1A68">
              <w:rPr>
                <w:color w:val="000000"/>
                <w:position w:val="-3"/>
              </w:rPr>
              <w:t xml:space="preserve"> through pastoral notes and wellbeing measures.</w:t>
            </w:r>
          </w:p>
          <w:p w14:paraId="601ACF76" w14:textId="5903F838" w:rsidR="004C41E6" w:rsidRPr="00D250B5" w:rsidRDefault="004C41E6" w:rsidP="004C41E6">
            <w:pPr>
              <w:pStyle w:val="TableRowCentered"/>
              <w:jc w:val="left"/>
              <w:rPr>
                <w:sz w:val="22"/>
                <w:szCs w:val="22"/>
              </w:rPr>
            </w:pP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FD0A134" w:rsidR="00E66558" w:rsidRDefault="009D71E8">
      <w:r>
        <w:t>Budgeted cost: £</w:t>
      </w:r>
      <w:r w:rsidR="0054633C">
        <w:t xml:space="preserve"> </w:t>
      </w:r>
      <w:r w:rsidR="00CD719F">
        <w:t>3</w:t>
      </w:r>
      <w:r w:rsidR="00D07657">
        <w:t>3</w:t>
      </w:r>
      <w:r w:rsidR="00CD719F">
        <w:t>,</w:t>
      </w:r>
      <w:r w:rsidR="00B57337">
        <w:t>798</w:t>
      </w:r>
    </w:p>
    <w:tbl>
      <w:tblPr>
        <w:tblW w:w="5000" w:type="pct"/>
        <w:tblLayout w:type="fixed"/>
        <w:tblCellMar>
          <w:left w:w="10" w:type="dxa"/>
          <w:right w:w="10" w:type="dxa"/>
        </w:tblCellMar>
        <w:tblLook w:val="04A0" w:firstRow="1" w:lastRow="0" w:firstColumn="1" w:lastColumn="0" w:noHBand="0" w:noVBand="1"/>
      </w:tblPr>
      <w:tblGrid>
        <w:gridCol w:w="3823"/>
        <w:gridCol w:w="4110"/>
        <w:gridCol w:w="1553"/>
      </w:tblGrid>
      <w:tr w:rsidR="00E66558" w14:paraId="2A7D5519" w14:textId="77777777" w:rsidTr="009726A4">
        <w:tc>
          <w:tcPr>
            <w:tcW w:w="382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lastRenderedPageBreak/>
              <w:t>Activity</w:t>
            </w:r>
          </w:p>
        </w:tc>
        <w:tc>
          <w:tcPr>
            <w:tcW w:w="411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Default="009D71E8" w:rsidP="00C31636">
            <w:pPr>
              <w:pStyle w:val="TableHeader"/>
              <w:ind w:left="0" w:right="0"/>
              <w:jc w:val="left"/>
            </w:pPr>
            <w:r>
              <w:t>Challenge number(s) addressed</w:t>
            </w:r>
          </w:p>
        </w:tc>
      </w:tr>
      <w:tr w:rsidR="00257295" w14:paraId="2A7D551D" w14:textId="77777777" w:rsidTr="009726A4">
        <w:tc>
          <w:tcPr>
            <w:tcW w:w="382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1A" w14:textId="6BB162A3" w:rsidR="00257295" w:rsidRDefault="00257295" w:rsidP="00257295">
            <w:pPr>
              <w:pStyle w:val="TableRow"/>
              <w:ind w:left="0" w:right="0"/>
            </w:pPr>
            <w:r>
              <w:rPr>
                <w:color w:val="000000"/>
                <w:position w:val="-3"/>
              </w:rPr>
              <w:t xml:space="preserve">1. Whole-school CPD programme on adaptive teaching, formative assessment and high-impact classroom strategies Focus on differentiating in‑lesson for pupils with </w:t>
            </w:r>
            <w:proofErr w:type="gramStart"/>
            <w:r>
              <w:rPr>
                <w:color w:val="000000"/>
                <w:position w:val="-3"/>
              </w:rPr>
              <w:t>gaps, and</w:t>
            </w:r>
            <w:proofErr w:type="gramEnd"/>
            <w:r>
              <w:rPr>
                <w:color w:val="000000"/>
                <w:position w:val="-3"/>
              </w:rPr>
              <w:t xml:space="preserve"> building teacher confidence to implement adaptive moves in real time. (Tier 1: Professional development &amp; adaptive teaching)</w:t>
            </w:r>
          </w:p>
        </w:tc>
        <w:tc>
          <w:tcPr>
            <w:tcW w:w="41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1B" w14:textId="3BFBBE52" w:rsidR="00257295" w:rsidRDefault="00257295" w:rsidP="00257295">
            <w:pPr>
              <w:pStyle w:val="TableRowCentered"/>
              <w:ind w:left="0" w:right="0"/>
              <w:jc w:val="left"/>
              <w:rPr>
                <w:sz w:val="22"/>
              </w:rPr>
            </w:pPr>
            <w:r>
              <w:rPr>
                <w:color w:val="000000"/>
                <w:position w:val="-3"/>
                <w:szCs w:val="24"/>
              </w:rPr>
              <w:t xml:space="preserve">EEF guidance highlights that well-designed professional development and implementation support are central to improving teaching quality and sustaining change (see EEF resources, Guide to Pupil Premium &amp; Implementation). See: </w:t>
            </w:r>
            <w:hyperlink r:id="rId10" w:history="1">
              <w:r>
                <w:rPr>
                  <w:rStyle w:val="DefaultParagraphFontPHPDOCX"/>
                  <w:color w:val="0000CC"/>
                  <w:position w:val="-3"/>
                  <w:szCs w:val="24"/>
                  <w:u w:val="single" w:color="000000"/>
                </w:rPr>
                <w:t>EEF – Guide to the Pupil Premium and evidence resources</w:t>
              </w:r>
            </w:hyperlink>
            <w:r>
              <w:rPr>
                <w:color w:val="000000"/>
                <w:position w:val="-3"/>
                <w:szCs w:val="24"/>
              </w:rPr>
              <w:t xml:space="preserve"> and EEF implementation resources referenced on the site.</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4136C18" w:rsidR="00257295" w:rsidRDefault="00257295" w:rsidP="00257295">
            <w:pPr>
              <w:pStyle w:val="TableRowCentered"/>
              <w:ind w:left="0" w:right="0"/>
              <w:jc w:val="left"/>
              <w:rPr>
                <w:sz w:val="22"/>
              </w:rPr>
            </w:pPr>
            <w:r>
              <w:rPr>
                <w:sz w:val="22"/>
              </w:rPr>
              <w:t>2,</w:t>
            </w:r>
            <w:r w:rsidR="004A2497">
              <w:rPr>
                <w:sz w:val="22"/>
              </w:rPr>
              <w:t>3,4,5</w:t>
            </w:r>
          </w:p>
        </w:tc>
      </w:tr>
      <w:tr w:rsidR="00257295" w14:paraId="2A7D5521" w14:textId="77777777" w:rsidTr="009726A4">
        <w:tc>
          <w:tcPr>
            <w:tcW w:w="382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1E" w14:textId="738E22FD" w:rsidR="00257295" w:rsidRPr="008258D1" w:rsidRDefault="00257295" w:rsidP="00257295">
            <w:pPr>
              <w:pStyle w:val="TableRow"/>
              <w:ind w:left="0" w:right="0"/>
              <w:rPr>
                <w:i/>
                <w:sz w:val="22"/>
                <w:szCs w:val="22"/>
              </w:rPr>
            </w:pPr>
            <w:r>
              <w:rPr>
                <w:color w:val="000000"/>
                <w:position w:val="-3"/>
              </w:rPr>
              <w:t xml:space="preserve">2. </w:t>
            </w:r>
            <w:r w:rsidR="006226C8">
              <w:rPr>
                <w:color w:val="000000"/>
                <w:position w:val="-3"/>
              </w:rPr>
              <w:t>Continue to embed</w:t>
            </w:r>
            <w:r>
              <w:rPr>
                <w:color w:val="000000"/>
                <w:position w:val="-3"/>
              </w:rPr>
              <w:t xml:space="preserve"> </w:t>
            </w:r>
            <w:r w:rsidR="00702182">
              <w:rPr>
                <w:color w:val="000000"/>
                <w:position w:val="-3"/>
              </w:rPr>
              <w:t>the Little Wandle</w:t>
            </w:r>
            <w:r>
              <w:rPr>
                <w:color w:val="000000"/>
                <w:position w:val="-3"/>
              </w:rPr>
              <w:t>, high‑quality synthetic phonics programme across Reception and KS1 with regular fidelity checks and additional training for staff new to the programme. Ensure decodable-book alignment and frequent assessment to group responsively. (Tier 1: Curriculum &amp; resources)</w:t>
            </w:r>
          </w:p>
        </w:tc>
        <w:tc>
          <w:tcPr>
            <w:tcW w:w="41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1F" w14:textId="24F41DEA" w:rsidR="00257295" w:rsidRPr="00E20751" w:rsidRDefault="00257295" w:rsidP="00257295">
            <w:pPr>
              <w:pStyle w:val="TableRowCentered"/>
              <w:ind w:left="0" w:right="0"/>
              <w:jc w:val="left"/>
              <w:rPr>
                <w:sz w:val="22"/>
                <w:szCs w:val="22"/>
              </w:rPr>
            </w:pPr>
            <w:r>
              <w:rPr>
                <w:color w:val="000000"/>
                <w:position w:val="-3"/>
                <w:szCs w:val="24"/>
              </w:rPr>
              <w:t xml:space="preserve">EEF – Phonics (Teaching and Learning Toolkit): systematic synthetic phonics has a strong evidence base (+5 months) and is particularly effective for disadvantaged pupils. See: </w:t>
            </w:r>
            <w:hyperlink r:id="rId11" w:history="1">
              <w:r>
                <w:rPr>
                  <w:rStyle w:val="DefaultParagraphFontPHPDOCX"/>
                  <w:color w:val="0000CC"/>
                  <w:position w:val="-3"/>
                  <w:szCs w:val="24"/>
                  <w:u w:val="single" w:color="000000"/>
                </w:rPr>
                <w:t>EEF – Phonics</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222B5808" w:rsidR="00257295" w:rsidRDefault="004A2497" w:rsidP="00257295">
            <w:pPr>
              <w:pStyle w:val="TableRowCentered"/>
              <w:ind w:left="0" w:right="0"/>
              <w:jc w:val="left"/>
              <w:rPr>
                <w:sz w:val="22"/>
              </w:rPr>
            </w:pPr>
            <w:r>
              <w:rPr>
                <w:sz w:val="22"/>
              </w:rPr>
              <w:t>2,3,4,5</w:t>
            </w:r>
          </w:p>
        </w:tc>
      </w:tr>
      <w:tr w:rsidR="00257295" w14:paraId="3A2F5BD7" w14:textId="77777777" w:rsidTr="009726A4">
        <w:tc>
          <w:tcPr>
            <w:tcW w:w="382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B50B338" w14:textId="613B52E0" w:rsidR="00257295" w:rsidRPr="008258D1" w:rsidRDefault="00257295" w:rsidP="00257295">
            <w:pPr>
              <w:pStyle w:val="TableRow"/>
              <w:ind w:left="0"/>
              <w:rPr>
                <w:i/>
                <w:sz w:val="22"/>
                <w:szCs w:val="22"/>
              </w:rPr>
            </w:pPr>
            <w:r>
              <w:rPr>
                <w:color w:val="000000"/>
                <w:position w:val="-3"/>
              </w:rPr>
              <w:t xml:space="preserve">3. Embed evidence-based early language provision in Nursery and Reception: adopt </w:t>
            </w:r>
            <w:r w:rsidR="00B82DA2">
              <w:rPr>
                <w:color w:val="000000"/>
                <w:position w:val="-3"/>
              </w:rPr>
              <w:t xml:space="preserve">Oracy </w:t>
            </w:r>
            <w:r>
              <w:rPr>
                <w:color w:val="000000"/>
                <w:position w:val="-3"/>
              </w:rPr>
              <w:t>language programmes for Reception children identified through screening. Train TAs and EY staff to deliver small-group language sessions. (Tier 1: Curriculum &amp; pedagogy in EY)</w:t>
            </w:r>
          </w:p>
        </w:tc>
        <w:tc>
          <w:tcPr>
            <w:tcW w:w="41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1F87390" w14:textId="07BAE954" w:rsidR="00257295" w:rsidRPr="00E20751" w:rsidRDefault="00257295" w:rsidP="00257295">
            <w:pPr>
              <w:pStyle w:val="TableRowCentered"/>
              <w:ind w:left="0" w:right="0"/>
              <w:jc w:val="left"/>
              <w:rPr>
                <w:sz w:val="22"/>
                <w:szCs w:val="22"/>
              </w:rPr>
            </w:pPr>
            <w:r>
              <w:rPr>
                <w:color w:val="000000"/>
                <w:position w:val="-3"/>
                <w:szCs w:val="24"/>
              </w:rPr>
              <w:t xml:space="preserve">EEF – Oral language interventions (very high impact, +6 months) and EEF Promising Programme NELI (evaluations show reliable gains for Reception children). See: </w:t>
            </w:r>
            <w:hyperlink r:id="rId12" w:history="1">
              <w:r>
                <w:rPr>
                  <w:rStyle w:val="DefaultParagraphFontPHPDOCX"/>
                  <w:color w:val="0000CC"/>
                  <w:position w:val="-3"/>
                  <w:szCs w:val="24"/>
                  <w:u w:val="single" w:color="000000"/>
                </w:rPr>
                <w:t>EEF – Oral language interventions</w:t>
              </w:r>
            </w:hyperlink>
            <w:r>
              <w:rPr>
                <w:color w:val="000000"/>
                <w:position w:val="-3"/>
                <w:szCs w:val="24"/>
              </w:rPr>
              <w:t xml:space="preserve"> and </w:t>
            </w:r>
            <w:hyperlink r:id="rId13" w:history="1">
              <w:r>
                <w:rPr>
                  <w:rStyle w:val="DefaultParagraphFontPHPDOCX"/>
                  <w:color w:val="0000CC"/>
                  <w:position w:val="-3"/>
                  <w:szCs w:val="24"/>
                  <w:u w:val="single" w:color="000000"/>
                </w:rPr>
                <w:t>EEF – NELI (Nuffield Early Language Intervention)</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63DD9" w14:textId="7CB3771B" w:rsidR="00257295" w:rsidRDefault="004A2497" w:rsidP="00257295">
            <w:pPr>
              <w:pStyle w:val="TableRowCentered"/>
              <w:ind w:left="0" w:right="0"/>
              <w:jc w:val="left"/>
              <w:rPr>
                <w:sz w:val="22"/>
              </w:rPr>
            </w:pPr>
            <w:r>
              <w:rPr>
                <w:sz w:val="22"/>
              </w:rPr>
              <w:t>2,3,4,5</w:t>
            </w:r>
          </w:p>
        </w:tc>
      </w:tr>
      <w:tr w:rsidR="00257295" w14:paraId="379D742F" w14:textId="77777777" w:rsidTr="009726A4">
        <w:tc>
          <w:tcPr>
            <w:tcW w:w="382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8568498" w14:textId="1C85465C" w:rsidR="00257295" w:rsidRPr="00D07657" w:rsidRDefault="00257295" w:rsidP="00257295">
            <w:pPr>
              <w:pStyle w:val="TableRow"/>
              <w:ind w:left="0"/>
              <w:rPr>
                <w:i/>
                <w:sz w:val="22"/>
                <w:szCs w:val="22"/>
              </w:rPr>
            </w:pPr>
            <w:r>
              <w:rPr>
                <w:color w:val="000000"/>
                <w:position w:val="-3"/>
              </w:rPr>
              <w:t>4. Strengthen subject leadership and curriculum monitoring across the wider curriculum (responding to Ofsted): implement termly subject leader monitoring cycles, with clear success criteria, pupil voice sampling and adjustment plans to secure curriculum coverage and progression. (Tier 1: Curriculum leadership &amp; assessment)</w:t>
            </w:r>
          </w:p>
        </w:tc>
        <w:tc>
          <w:tcPr>
            <w:tcW w:w="41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29B4E7" w14:textId="3FE8F96F" w:rsidR="00257295" w:rsidRDefault="00257295" w:rsidP="00257295">
            <w:pPr>
              <w:pStyle w:val="TableRowCentered"/>
              <w:ind w:left="0" w:right="0"/>
              <w:jc w:val="left"/>
              <w:rPr>
                <w:sz w:val="22"/>
                <w:szCs w:val="22"/>
              </w:rPr>
            </w:pPr>
            <w:r>
              <w:rPr>
                <w:color w:val="000000"/>
                <w:position w:val="-3"/>
                <w:szCs w:val="24"/>
              </w:rPr>
              <w:t xml:space="preserve">EEF resources on implementation and curriculum planning emphasise the need for subject-leader monitoring and the evidence-to-practice cycle. See: </w:t>
            </w:r>
            <w:hyperlink r:id="rId14" w:history="1">
              <w:r>
                <w:rPr>
                  <w:rStyle w:val="DefaultParagraphFontPHPDOCX"/>
                  <w:color w:val="0000CC"/>
                  <w:position w:val="-3"/>
                  <w:szCs w:val="24"/>
                  <w:u w:val="single" w:color="000000"/>
                </w:rPr>
                <w:t>EEF – Guide to the Pupil Premium and implementation materials</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0DDB29" w14:textId="26462CCF" w:rsidR="00257295" w:rsidRDefault="004A2497" w:rsidP="00257295">
            <w:pPr>
              <w:pStyle w:val="TableRowCentered"/>
              <w:ind w:left="0" w:right="0"/>
              <w:jc w:val="left"/>
              <w:rPr>
                <w:sz w:val="22"/>
              </w:rPr>
            </w:pPr>
            <w:r>
              <w:rPr>
                <w:sz w:val="22"/>
              </w:rPr>
              <w:t>2,3,4,5</w:t>
            </w:r>
          </w:p>
        </w:tc>
      </w:tr>
      <w:tr w:rsidR="00257295" w14:paraId="2699BF69" w14:textId="77777777" w:rsidTr="009726A4">
        <w:tc>
          <w:tcPr>
            <w:tcW w:w="3823"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734757D" w14:textId="67B5F223" w:rsidR="00257295" w:rsidRPr="00D07657" w:rsidRDefault="00257295" w:rsidP="00257295">
            <w:pPr>
              <w:pStyle w:val="TableRow"/>
              <w:ind w:left="0"/>
              <w:rPr>
                <w:i/>
                <w:sz w:val="22"/>
                <w:szCs w:val="22"/>
              </w:rPr>
            </w:pPr>
            <w:r>
              <w:rPr>
                <w:color w:val="000000"/>
                <w:position w:val="-3"/>
              </w:rPr>
              <w:t xml:space="preserve">5. Training and best-practice deployment for Teaching Assistants (TAs): focused training for TAs to deliver structured small-group phonics </w:t>
            </w:r>
            <w:r>
              <w:rPr>
                <w:color w:val="000000"/>
                <w:position w:val="-3"/>
              </w:rPr>
              <w:lastRenderedPageBreak/>
              <w:t>and language sessions and to support classroom adaptive teaching. (Tier 1: Staff deployment &amp; PD)</w:t>
            </w:r>
          </w:p>
        </w:tc>
        <w:tc>
          <w:tcPr>
            <w:tcW w:w="4110"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28BF7E8" w14:textId="4A170840" w:rsidR="00257295" w:rsidRDefault="00257295" w:rsidP="00257295">
            <w:pPr>
              <w:pStyle w:val="TableRowCentered"/>
              <w:ind w:left="0" w:right="0"/>
              <w:jc w:val="left"/>
            </w:pPr>
            <w:r>
              <w:rPr>
                <w:color w:val="000000"/>
                <w:position w:val="-3"/>
                <w:szCs w:val="24"/>
              </w:rPr>
              <w:lastRenderedPageBreak/>
              <w:t xml:space="preserve">EEF guidance identifies well-trained TAs delivering targeted interventions can be effective; see EEF resources on making best use of TAs and the Teaching and </w:t>
            </w:r>
            <w:r>
              <w:rPr>
                <w:color w:val="000000"/>
                <w:position w:val="-3"/>
                <w:szCs w:val="24"/>
              </w:rPr>
              <w:lastRenderedPageBreak/>
              <w:t xml:space="preserve">Learning Toolkit context for small-group delivery (phonics, oral language). See: </w:t>
            </w:r>
            <w:hyperlink r:id="rId15" w:history="1">
              <w:r>
                <w:rPr>
                  <w:rStyle w:val="DefaultParagraphFontPHPDOCX"/>
                  <w:color w:val="0000CC"/>
                  <w:position w:val="-3"/>
                  <w:szCs w:val="24"/>
                  <w:u w:val="single" w:color="000000"/>
                </w:rPr>
                <w:t>EEF – Oral language interventions</w:t>
              </w:r>
            </w:hyperlink>
            <w:r>
              <w:rPr>
                <w:color w:val="000000"/>
                <w:position w:val="-3"/>
                <w:szCs w:val="24"/>
              </w:rPr>
              <w:t xml:space="preserve"> and EEF TA guidance (see Guide to Pupil Premium resources).</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3B4C" w14:textId="6D31BD97" w:rsidR="00257295" w:rsidRDefault="004A2497" w:rsidP="00257295">
            <w:pPr>
              <w:pStyle w:val="TableRowCentered"/>
              <w:ind w:left="0" w:right="0"/>
              <w:jc w:val="left"/>
              <w:rPr>
                <w:sz w:val="22"/>
              </w:rPr>
            </w:pPr>
            <w:r>
              <w:rPr>
                <w:sz w:val="22"/>
              </w:rPr>
              <w:lastRenderedPageBreak/>
              <w:t>2,3,4,5</w:t>
            </w: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0A2181B6" w:rsidR="00E66558" w:rsidRDefault="009D71E8">
      <w:r>
        <w:t xml:space="preserve">Budgeted cost: £ </w:t>
      </w:r>
      <w:r w:rsidR="00D07657">
        <w:rPr>
          <w:i/>
          <w:iCs/>
        </w:rPr>
        <w:t>42</w:t>
      </w:r>
      <w:r w:rsidR="00CD719F">
        <w:rPr>
          <w:i/>
          <w:iCs/>
        </w:rPr>
        <w:t>,</w:t>
      </w:r>
      <w:r w:rsidR="00D25B85">
        <w:rPr>
          <w:i/>
          <w:iCs/>
        </w:rPr>
        <w:t>962</w:t>
      </w:r>
    </w:p>
    <w:tbl>
      <w:tblPr>
        <w:tblW w:w="5000" w:type="pct"/>
        <w:tblCellMar>
          <w:left w:w="10" w:type="dxa"/>
          <w:right w:w="10" w:type="dxa"/>
        </w:tblCellMar>
        <w:tblLook w:val="04A0" w:firstRow="1" w:lastRow="0" w:firstColumn="1" w:lastColumn="0" w:noHBand="0" w:noVBand="1"/>
      </w:tblPr>
      <w:tblGrid>
        <w:gridCol w:w="3679"/>
        <w:gridCol w:w="4390"/>
        <w:gridCol w:w="1417"/>
      </w:tblGrid>
      <w:tr w:rsidR="00E66558" w14:paraId="2A7D5528" w14:textId="77777777" w:rsidTr="009726A4">
        <w:tc>
          <w:tcPr>
            <w:tcW w:w="368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439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894B54" w14:paraId="2A7D552C" w14:textId="77777777" w:rsidTr="009726A4">
        <w:tc>
          <w:tcPr>
            <w:tcW w:w="368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29" w14:textId="09A97CE0" w:rsidR="00894B54" w:rsidRDefault="00894B54" w:rsidP="00894B54">
            <w:pPr>
              <w:pStyle w:val="TableRow"/>
              <w:ind w:left="0" w:right="0"/>
            </w:pPr>
            <w:r>
              <w:rPr>
                <w:color w:val="000000"/>
                <w:position w:val="-3"/>
              </w:rPr>
              <w:t>1. Reception targeted language groups for children below language thresholds delivered by trained TAs (Tier 2: Targeted intervention)</w:t>
            </w:r>
          </w:p>
        </w:tc>
        <w:tc>
          <w:tcPr>
            <w:tcW w:w="439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2A" w14:textId="36F8E6E8" w:rsidR="00894B54" w:rsidRDefault="00894B54" w:rsidP="00894B54">
            <w:pPr>
              <w:pStyle w:val="TableRowCentered"/>
              <w:ind w:left="0" w:right="0"/>
              <w:jc w:val="left"/>
              <w:rPr>
                <w:sz w:val="22"/>
              </w:rPr>
            </w:pPr>
            <w:r>
              <w:rPr>
                <w:color w:val="000000"/>
                <w:position w:val="-3"/>
                <w:szCs w:val="24"/>
              </w:rPr>
              <w:t xml:space="preserve">EEF – NELI: EEF trials show Reception pupils make additional months’ progress; oral language interventions have a very high impact (+6 months). See: </w:t>
            </w:r>
            <w:hyperlink r:id="rId16" w:history="1">
              <w:r>
                <w:rPr>
                  <w:rStyle w:val="DefaultParagraphFontPHPDOCX"/>
                  <w:color w:val="0000CC"/>
                  <w:position w:val="-3"/>
                  <w:szCs w:val="24"/>
                  <w:u w:val="single" w:color="000000"/>
                </w:rPr>
                <w:t>EEF – NELI (Nuffield Early Language Intervention)</w:t>
              </w:r>
            </w:hyperlink>
            <w:r>
              <w:rPr>
                <w:color w:val="000000"/>
                <w:position w:val="-3"/>
                <w:szCs w:val="24"/>
              </w:rPr>
              <w:t xml:space="preserve"> and </w:t>
            </w:r>
            <w:hyperlink r:id="rId17" w:history="1">
              <w:r>
                <w:rPr>
                  <w:rStyle w:val="DefaultParagraphFontPHPDOCX"/>
                  <w:color w:val="0000CC"/>
                  <w:position w:val="-3"/>
                  <w:szCs w:val="24"/>
                  <w:u w:val="single" w:color="000000"/>
                </w:rPr>
                <w:t>EEF – Oral language interventions</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3B327D4B" w:rsidR="00894B54" w:rsidRDefault="00894B54" w:rsidP="00894B54">
            <w:pPr>
              <w:pStyle w:val="TableRowCentered"/>
              <w:ind w:left="0" w:right="0"/>
              <w:jc w:val="left"/>
              <w:rPr>
                <w:sz w:val="22"/>
              </w:rPr>
            </w:pPr>
            <w:r>
              <w:rPr>
                <w:sz w:val="22"/>
              </w:rPr>
              <w:t>2</w:t>
            </w:r>
            <w:r w:rsidR="00605D66">
              <w:rPr>
                <w:sz w:val="22"/>
              </w:rPr>
              <w:t>,3,4</w:t>
            </w:r>
          </w:p>
        </w:tc>
      </w:tr>
      <w:tr w:rsidR="00894B54" w14:paraId="2A7D5530" w14:textId="77777777" w:rsidTr="009726A4">
        <w:tc>
          <w:tcPr>
            <w:tcW w:w="368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2D" w14:textId="4628598B" w:rsidR="00894B54" w:rsidRPr="008258D1" w:rsidRDefault="00894B54" w:rsidP="00894B54">
            <w:pPr>
              <w:pStyle w:val="TableRow"/>
              <w:ind w:left="0" w:right="0"/>
              <w:rPr>
                <w:i/>
                <w:sz w:val="22"/>
                <w:szCs w:val="22"/>
              </w:rPr>
            </w:pPr>
            <w:r>
              <w:rPr>
                <w:color w:val="000000"/>
                <w:position w:val="-3"/>
              </w:rPr>
              <w:t>2. Rapid, structured small-group phonics catch-up for Y1 disadvantaged pupils and Y2 pupils who did not meet the check Use assessment every 6 weeks to move pupils between groups. (Tier 2: Structured interventions)</w:t>
            </w:r>
          </w:p>
        </w:tc>
        <w:tc>
          <w:tcPr>
            <w:tcW w:w="439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2E" w14:textId="4F20033A" w:rsidR="00894B54" w:rsidRPr="008258D1" w:rsidRDefault="00894B54" w:rsidP="00894B54">
            <w:pPr>
              <w:pStyle w:val="TableRowCentered"/>
              <w:ind w:left="0" w:right="0"/>
              <w:jc w:val="left"/>
              <w:rPr>
                <w:sz w:val="22"/>
                <w:szCs w:val="22"/>
              </w:rPr>
            </w:pPr>
            <w:r>
              <w:rPr>
                <w:color w:val="000000"/>
                <w:position w:val="-3"/>
                <w:szCs w:val="24"/>
              </w:rPr>
              <w:t xml:space="preserve">EEF – Phonics evidence: targeted intensive phonics in small groups/1:1 yields substantial gains (+5 months on average; 1:1 often larger). See: </w:t>
            </w:r>
            <w:hyperlink r:id="rId18" w:history="1">
              <w:r>
                <w:rPr>
                  <w:rStyle w:val="DefaultParagraphFontPHPDOCX"/>
                  <w:color w:val="0000CC"/>
                  <w:position w:val="-3"/>
                  <w:szCs w:val="24"/>
                  <w:u w:val="single" w:color="000000"/>
                </w:rPr>
                <w:t>EEF – Phonics</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0F7EF75D" w:rsidR="00894B54" w:rsidRPr="008258D1" w:rsidRDefault="00605D66" w:rsidP="00894B54">
            <w:pPr>
              <w:pStyle w:val="TableRowCentered"/>
              <w:ind w:left="0" w:right="0"/>
              <w:jc w:val="left"/>
              <w:rPr>
                <w:sz w:val="22"/>
                <w:szCs w:val="22"/>
              </w:rPr>
            </w:pPr>
            <w:r>
              <w:rPr>
                <w:sz w:val="22"/>
                <w:szCs w:val="22"/>
              </w:rPr>
              <w:t>2,3,4</w:t>
            </w:r>
          </w:p>
        </w:tc>
      </w:tr>
      <w:tr w:rsidR="00894B54" w14:paraId="31E116D4" w14:textId="77777777" w:rsidTr="009726A4">
        <w:tc>
          <w:tcPr>
            <w:tcW w:w="368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FB9421E" w14:textId="1BB466B7" w:rsidR="00894B54" w:rsidRPr="008258D1" w:rsidRDefault="00894B54" w:rsidP="00894B54">
            <w:pPr>
              <w:pStyle w:val="TableRow"/>
              <w:ind w:left="0" w:right="0"/>
              <w:rPr>
                <w:i/>
                <w:sz w:val="22"/>
                <w:szCs w:val="22"/>
              </w:rPr>
            </w:pPr>
            <w:r>
              <w:rPr>
                <w:color w:val="000000"/>
                <w:position w:val="-3"/>
              </w:rPr>
              <w:t xml:space="preserve">3. Structured one-to-one tuition and </w:t>
            </w:r>
            <w:proofErr w:type="gramStart"/>
            <w:r>
              <w:rPr>
                <w:color w:val="000000"/>
                <w:position w:val="-3"/>
              </w:rPr>
              <w:t>small-group</w:t>
            </w:r>
            <w:proofErr w:type="gramEnd"/>
            <w:r>
              <w:rPr>
                <w:color w:val="000000"/>
                <w:position w:val="-3"/>
              </w:rPr>
              <w:t xml:space="preserve"> tutoring for pupils below expected standard in maths/reading (targeted tuition delivered by teachers or </w:t>
            </w:r>
            <w:r w:rsidR="00063C26">
              <w:rPr>
                <w:color w:val="000000"/>
                <w:position w:val="-3"/>
              </w:rPr>
              <w:t>trained TAs</w:t>
            </w:r>
            <w:r>
              <w:rPr>
                <w:color w:val="000000"/>
                <w:position w:val="-3"/>
              </w:rPr>
              <w:t>). (Tier 2: One-to-one / Small group tuition)</w:t>
            </w:r>
          </w:p>
        </w:tc>
        <w:tc>
          <w:tcPr>
            <w:tcW w:w="439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12A4FAA" w14:textId="2B8D3B28" w:rsidR="00894B54" w:rsidRPr="008258D1" w:rsidRDefault="00894B54" w:rsidP="00894B54">
            <w:pPr>
              <w:pStyle w:val="TableRowCentered"/>
              <w:ind w:left="0" w:right="0"/>
              <w:jc w:val="left"/>
              <w:rPr>
                <w:rFonts w:cs="Arial"/>
                <w:sz w:val="22"/>
                <w:szCs w:val="22"/>
              </w:rPr>
            </w:pPr>
            <w:r>
              <w:rPr>
                <w:color w:val="000000"/>
                <w:position w:val="-3"/>
                <w:szCs w:val="24"/>
              </w:rPr>
              <w:t xml:space="preserve">EEF Teaching and Learning Toolkit: one-to-one tuition and small group tuition provide measurable impact when well-implemented (tutoring guidance in EEF resources and the Guide to Pupil Premium). See: </w:t>
            </w:r>
            <w:hyperlink r:id="rId19" w:history="1">
              <w:r>
                <w:rPr>
                  <w:rStyle w:val="DefaultParagraphFontPHPDOCX"/>
                  <w:color w:val="0000CC"/>
                  <w:position w:val="-3"/>
                  <w:szCs w:val="24"/>
                  <w:u w:val="single" w:color="000000"/>
                </w:rPr>
                <w:t>EEF – Guide to the Pupil Premium and evidence resources</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F13A1" w14:textId="18573E22" w:rsidR="00894B54" w:rsidRPr="008258D1" w:rsidRDefault="00894B54" w:rsidP="00894B54">
            <w:pPr>
              <w:pStyle w:val="TableRowCentered"/>
              <w:ind w:left="0" w:right="0"/>
              <w:jc w:val="left"/>
              <w:rPr>
                <w:sz w:val="22"/>
                <w:szCs w:val="22"/>
              </w:rPr>
            </w:pPr>
            <w:r>
              <w:rPr>
                <w:sz w:val="22"/>
                <w:szCs w:val="22"/>
              </w:rPr>
              <w:t>2,3</w:t>
            </w:r>
            <w:r w:rsidR="00605D66">
              <w:rPr>
                <w:sz w:val="22"/>
                <w:szCs w:val="22"/>
              </w:rPr>
              <w:t>,4</w:t>
            </w:r>
          </w:p>
        </w:tc>
      </w:tr>
      <w:tr w:rsidR="00894B54" w14:paraId="6E42AC47" w14:textId="77777777" w:rsidTr="009726A4">
        <w:tc>
          <w:tcPr>
            <w:tcW w:w="368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32EB2D7D" w14:textId="359E99E7" w:rsidR="00894B54" w:rsidRPr="00377521" w:rsidRDefault="00894B54" w:rsidP="00894B54">
            <w:pPr>
              <w:pStyle w:val="TableRow"/>
              <w:rPr>
                <w:i/>
                <w:sz w:val="22"/>
                <w:szCs w:val="22"/>
              </w:rPr>
            </w:pPr>
            <w:r>
              <w:rPr>
                <w:color w:val="000000"/>
                <w:position w:val="-3"/>
              </w:rPr>
              <w:t>4. Targeted catch-up maths interventions using evidence-aligned resources (small-group sessions focused on number sense and practice of key content, regular retrieval &amp; short-term assessments). (Tier 2: Targeted academic support)</w:t>
            </w:r>
          </w:p>
        </w:tc>
        <w:tc>
          <w:tcPr>
            <w:tcW w:w="439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33CE69C" w14:textId="20831321" w:rsidR="00894B54" w:rsidRDefault="00894B54" w:rsidP="00894B54">
            <w:pPr>
              <w:pStyle w:val="TableRowCentered"/>
              <w:ind w:left="0" w:right="0"/>
              <w:jc w:val="left"/>
              <w:rPr>
                <w:rFonts w:cs="Arial"/>
                <w:sz w:val="22"/>
                <w:szCs w:val="22"/>
              </w:rPr>
            </w:pPr>
            <w:r>
              <w:rPr>
                <w:color w:val="000000"/>
                <w:position w:val="-3"/>
                <w:szCs w:val="24"/>
              </w:rPr>
              <w:t>EEF – Early years/primary maths guidance and Teaching and Learning Toolkit indicate targeted small-group maths approaches and structured programmes can support attainment. See EEF resources via [EEF – Primary maths evidence and resources] (see EEF site for early years/KS1 maths guidance).</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7AC1D" w14:textId="3218D9AC" w:rsidR="00894B54" w:rsidRDefault="00605D66" w:rsidP="00894B54">
            <w:pPr>
              <w:pStyle w:val="TableRowCentered"/>
              <w:ind w:left="0" w:right="0"/>
              <w:jc w:val="left"/>
              <w:rPr>
                <w:sz w:val="22"/>
                <w:szCs w:val="22"/>
              </w:rPr>
            </w:pPr>
            <w:r>
              <w:rPr>
                <w:sz w:val="22"/>
                <w:szCs w:val="22"/>
              </w:rPr>
              <w:t>2,3,4</w:t>
            </w:r>
          </w:p>
        </w:tc>
      </w:tr>
      <w:tr w:rsidR="00894B54" w14:paraId="44F133C3" w14:textId="77777777" w:rsidTr="009726A4">
        <w:tc>
          <w:tcPr>
            <w:tcW w:w="368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5046E7C" w14:textId="3B88CC32" w:rsidR="00894B54" w:rsidRPr="00642AC5" w:rsidRDefault="00894B54" w:rsidP="00894B54">
            <w:pPr>
              <w:pStyle w:val="TableRow"/>
              <w:rPr>
                <w:i/>
                <w:sz w:val="22"/>
                <w:szCs w:val="22"/>
              </w:rPr>
            </w:pPr>
            <w:r>
              <w:rPr>
                <w:color w:val="000000"/>
                <w:position w:val="-3"/>
              </w:rPr>
              <w:lastRenderedPageBreak/>
              <w:t>5. Precision reading comprehension interventions</w:t>
            </w:r>
            <w:r w:rsidR="00313AE2">
              <w:rPr>
                <w:color w:val="000000"/>
                <w:position w:val="-3"/>
              </w:rPr>
              <w:t xml:space="preserve"> (Reading Rocketeers</w:t>
            </w:r>
            <w:r w:rsidR="007A1810">
              <w:rPr>
                <w:color w:val="000000"/>
                <w:position w:val="-3"/>
              </w:rPr>
              <w:t>/Reading Explorers</w:t>
            </w:r>
            <w:r w:rsidR="00313AE2">
              <w:rPr>
                <w:color w:val="000000"/>
                <w:position w:val="-3"/>
              </w:rPr>
              <w:t>)</w:t>
            </w:r>
            <w:r>
              <w:rPr>
                <w:color w:val="000000"/>
                <w:position w:val="-3"/>
              </w:rPr>
              <w:t xml:space="preserve"> for pupils where decoding is adequate but comprehension lags (structured reading comprehension strategies / reciprocal teaching delivered in small groups). (Tier 2: Targeted literacy support)</w:t>
            </w:r>
          </w:p>
        </w:tc>
        <w:tc>
          <w:tcPr>
            <w:tcW w:w="439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760F6AA7" w14:textId="0943F3E7" w:rsidR="00894B54" w:rsidRDefault="00894B54" w:rsidP="00894B54">
            <w:pPr>
              <w:pStyle w:val="TableRowCentered"/>
              <w:ind w:left="0" w:right="0"/>
              <w:jc w:val="left"/>
            </w:pPr>
            <w:r>
              <w:rPr>
                <w:color w:val="000000"/>
                <w:position w:val="-3"/>
                <w:szCs w:val="24"/>
              </w:rPr>
              <w:t xml:space="preserve">EEF – Oral language and reading comprehension evidence (reading comprehension strategies show positive effects; combine with phonics). See: </w:t>
            </w:r>
            <w:hyperlink r:id="rId20" w:history="1">
              <w:r>
                <w:rPr>
                  <w:rStyle w:val="DefaultParagraphFontPHPDOCX"/>
                  <w:color w:val="0000CC"/>
                  <w:position w:val="-3"/>
                  <w:szCs w:val="24"/>
                  <w:u w:val="single" w:color="000000"/>
                </w:rPr>
                <w:t>EEF – Oral language interventions</w:t>
              </w:r>
            </w:hyperlink>
            <w:r>
              <w:rPr>
                <w:color w:val="000000"/>
                <w:position w:val="-3"/>
                <w:szCs w:val="24"/>
              </w:rPr>
              <w:t xml:space="preserve"> and EEF guidance on improving literacy in KS1.</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B802E" w14:textId="50ED0DFE" w:rsidR="00894B54" w:rsidRDefault="00605D66" w:rsidP="00894B54">
            <w:pPr>
              <w:pStyle w:val="TableRowCentered"/>
              <w:ind w:left="0" w:right="0"/>
              <w:jc w:val="left"/>
              <w:rPr>
                <w:sz w:val="22"/>
                <w:szCs w:val="22"/>
              </w:rPr>
            </w:pPr>
            <w:r>
              <w:rPr>
                <w:sz w:val="22"/>
                <w:szCs w:val="22"/>
              </w:rPr>
              <w:t>2,3,4</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53D777CF" w:rsidR="00E66558" w:rsidRDefault="009D71E8">
      <w:pPr>
        <w:spacing w:before="240" w:after="120"/>
      </w:pPr>
      <w:r>
        <w:t xml:space="preserve">Budgeted cost: £ </w:t>
      </w:r>
      <w:r w:rsidR="004721B7">
        <w:rPr>
          <w:i/>
          <w:iCs/>
        </w:rPr>
        <w:t>25,060</w:t>
      </w:r>
    </w:p>
    <w:tbl>
      <w:tblPr>
        <w:tblW w:w="5000" w:type="pct"/>
        <w:tblCellMar>
          <w:left w:w="10" w:type="dxa"/>
          <w:right w:w="10" w:type="dxa"/>
        </w:tblCellMar>
        <w:tblLook w:val="04A0" w:firstRow="1" w:lastRow="0" w:firstColumn="1" w:lastColumn="0" w:noHBand="0" w:noVBand="1"/>
      </w:tblPr>
      <w:tblGrid>
        <w:gridCol w:w="3961"/>
        <w:gridCol w:w="4108"/>
        <w:gridCol w:w="1417"/>
      </w:tblGrid>
      <w:tr w:rsidR="00E66558" w14:paraId="2A7D5537" w14:textId="77777777" w:rsidTr="009726A4">
        <w:tc>
          <w:tcPr>
            <w:tcW w:w="396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1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147F7E" w14:paraId="2A7D553B" w14:textId="77777777" w:rsidTr="009726A4">
        <w:tc>
          <w:tcPr>
            <w:tcW w:w="396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38" w14:textId="313EB7B8" w:rsidR="00147F7E" w:rsidRPr="008258D1" w:rsidRDefault="00147F7E" w:rsidP="00147F7E">
            <w:pPr>
              <w:pStyle w:val="TableRow"/>
              <w:ind w:left="0" w:right="0"/>
              <w:rPr>
                <w:i/>
                <w:sz w:val="22"/>
                <w:szCs w:val="22"/>
              </w:rPr>
            </w:pPr>
            <w:r>
              <w:rPr>
                <w:color w:val="000000"/>
                <w:position w:val="-3"/>
              </w:rPr>
              <w:t>1. Attendance strategy: implement early identification, personalised parental engagement (structured ‘nudge’ letters/texts and targeted discussions), and responsive multi‑agency plans for pupils at risk of persistent absence. Provide incentives and positive recognition for attendance. (Tier 3: Attendance support &amp; family engagement)</w:t>
            </w:r>
          </w:p>
        </w:tc>
        <w:tc>
          <w:tcPr>
            <w:tcW w:w="411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39" w14:textId="16E1156C" w:rsidR="00147F7E" w:rsidRPr="008258D1" w:rsidRDefault="00147F7E" w:rsidP="00147F7E">
            <w:pPr>
              <w:pStyle w:val="TableRowCentered"/>
              <w:ind w:left="0" w:right="0"/>
              <w:jc w:val="left"/>
              <w:rPr>
                <w:sz w:val="22"/>
                <w:szCs w:val="22"/>
              </w:rPr>
            </w:pPr>
            <w:r>
              <w:rPr>
                <w:color w:val="000000"/>
                <w:position w:val="-3"/>
                <w:szCs w:val="24"/>
              </w:rPr>
              <w:t xml:space="preserve">EEF – Attendance Interventions Rapid Evidence Assessment: evidence of promise for parental engagement and responsive, individually targeted interventions; EEF resources on supporting attendance and the reflection/planning tool. See: </w:t>
            </w:r>
            <w:hyperlink r:id="rId21" w:history="1">
              <w:r>
                <w:rPr>
                  <w:rStyle w:val="DefaultParagraphFontPHPDOCX"/>
                  <w:color w:val="0000CC"/>
                  <w:position w:val="-3"/>
                  <w:szCs w:val="24"/>
                  <w:u w:val="single" w:color="000000"/>
                </w:rPr>
                <w:t>EEF – Attendance interventions rapid evidence assessment</w:t>
              </w:r>
            </w:hyperlink>
            <w:r>
              <w:rPr>
                <w:color w:val="000000"/>
                <w:position w:val="-3"/>
                <w:szCs w:val="24"/>
              </w:rPr>
              <w:t xml:space="preserve"> and </w:t>
            </w:r>
            <w:hyperlink r:id="rId22" w:history="1">
              <w:r>
                <w:rPr>
                  <w:rStyle w:val="DefaultParagraphFontPHPDOCX"/>
                  <w:color w:val="0000CC"/>
                  <w:position w:val="-3"/>
                  <w:szCs w:val="24"/>
                  <w:u w:val="single" w:color="000000"/>
                </w:rPr>
                <w:t>EEF – Supporting school attendance (reflection tool)</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0DE414FF" w:rsidR="00147F7E" w:rsidRPr="008258D1" w:rsidRDefault="00147F7E" w:rsidP="00147F7E">
            <w:pPr>
              <w:pStyle w:val="TableRowCentered"/>
              <w:ind w:left="0" w:right="0"/>
              <w:jc w:val="left"/>
              <w:rPr>
                <w:sz w:val="22"/>
                <w:szCs w:val="22"/>
              </w:rPr>
            </w:pPr>
            <w:r>
              <w:rPr>
                <w:sz w:val="22"/>
                <w:szCs w:val="22"/>
              </w:rPr>
              <w:t>1</w:t>
            </w:r>
            <w:r w:rsidR="006B0B42">
              <w:rPr>
                <w:sz w:val="22"/>
                <w:szCs w:val="22"/>
              </w:rPr>
              <w:t>, 5, 6</w:t>
            </w:r>
          </w:p>
        </w:tc>
      </w:tr>
      <w:tr w:rsidR="00147F7E" w14:paraId="2A7D553F" w14:textId="77777777" w:rsidTr="009726A4">
        <w:tc>
          <w:tcPr>
            <w:tcW w:w="396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3C" w14:textId="073AA34A" w:rsidR="00147F7E" w:rsidRDefault="00147F7E" w:rsidP="00147F7E">
            <w:pPr>
              <w:pStyle w:val="TableRow"/>
              <w:rPr>
                <w:i/>
                <w:sz w:val="22"/>
              </w:rPr>
            </w:pPr>
            <w:r>
              <w:rPr>
                <w:color w:val="000000"/>
                <w:position w:val="-3"/>
              </w:rPr>
              <w:t xml:space="preserve">2. Breakfast club </w:t>
            </w:r>
            <w:r w:rsidR="00DC5813">
              <w:rPr>
                <w:color w:val="000000"/>
                <w:position w:val="-3"/>
              </w:rPr>
              <w:t xml:space="preserve">and Extended </w:t>
            </w:r>
            <w:proofErr w:type="gramStart"/>
            <w:r w:rsidR="009444A8">
              <w:rPr>
                <w:color w:val="000000"/>
                <w:position w:val="-3"/>
              </w:rPr>
              <w:t>schools</w:t>
            </w:r>
            <w:proofErr w:type="gramEnd"/>
            <w:r>
              <w:rPr>
                <w:color w:val="000000"/>
                <w:position w:val="-3"/>
              </w:rPr>
              <w:t xml:space="preserve"> provision for vulnerable pupils (well‑resourced, universal/targeted provision to ensure pupils arrive ready to learn and to improve school connectedness). (Tier 3: Meal provision / school routines)</w:t>
            </w:r>
          </w:p>
        </w:tc>
        <w:tc>
          <w:tcPr>
            <w:tcW w:w="411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2A7D553D" w14:textId="30C6BFD6" w:rsidR="00147F7E" w:rsidRDefault="00147F7E" w:rsidP="00147F7E">
            <w:pPr>
              <w:pStyle w:val="TableRowCentered"/>
              <w:ind w:left="0" w:right="0"/>
              <w:jc w:val="left"/>
              <w:rPr>
                <w:sz w:val="22"/>
              </w:rPr>
            </w:pPr>
            <w:r>
              <w:rPr>
                <w:color w:val="000000"/>
                <w:position w:val="-3"/>
                <w:szCs w:val="24"/>
              </w:rPr>
              <w:t xml:space="preserve">EEF – Attendance REA and evidence on meal provision: school breakfast programmes show small-positive or null impacts on attendance; Magic Breakfast evaluation showed other benefits for KS1 attainment. See: </w:t>
            </w:r>
            <w:hyperlink r:id="rId23" w:history="1">
              <w:r>
                <w:rPr>
                  <w:rStyle w:val="DefaultParagraphFontPHPDOCX"/>
                  <w:color w:val="0000CC"/>
                  <w:position w:val="-3"/>
                  <w:szCs w:val="24"/>
                  <w:u w:val="single" w:color="000000"/>
                </w:rPr>
                <w:t>EEF – Attendance interventions rapid evidence assessment</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CF82BBB" w:rsidR="00147F7E" w:rsidRDefault="00147F7E" w:rsidP="00147F7E">
            <w:pPr>
              <w:pStyle w:val="TableRowCentered"/>
              <w:ind w:left="0" w:right="0"/>
              <w:jc w:val="left"/>
              <w:rPr>
                <w:sz w:val="22"/>
              </w:rPr>
            </w:pPr>
            <w:r>
              <w:rPr>
                <w:sz w:val="22"/>
              </w:rPr>
              <w:t>1,</w:t>
            </w:r>
            <w:r w:rsidR="006B0B42">
              <w:rPr>
                <w:sz w:val="22"/>
              </w:rPr>
              <w:t>5,6</w:t>
            </w:r>
          </w:p>
        </w:tc>
      </w:tr>
      <w:tr w:rsidR="00147F7E" w14:paraId="63BE2B9A" w14:textId="77777777" w:rsidTr="009726A4">
        <w:tc>
          <w:tcPr>
            <w:tcW w:w="396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5578960" w14:textId="6F96FEBC" w:rsidR="00147F7E" w:rsidRPr="00186B09" w:rsidRDefault="00147F7E" w:rsidP="00147F7E">
            <w:pPr>
              <w:pStyle w:val="TableRow"/>
              <w:rPr>
                <w:i/>
                <w:sz w:val="22"/>
                <w:szCs w:val="22"/>
              </w:rPr>
            </w:pPr>
            <w:r>
              <w:rPr>
                <w:color w:val="000000"/>
                <w:position w:val="-3"/>
              </w:rPr>
              <w:t xml:space="preserve">3. SEL whole-school programme (explicit SEL taught in class + targeted small-group support / Cove pastoral intervention). Train staff and embed SEL within curriculum routines. (Tier 3: </w:t>
            </w:r>
            <w:r>
              <w:rPr>
                <w:color w:val="000000"/>
                <w:position w:val="-3"/>
              </w:rPr>
              <w:lastRenderedPageBreak/>
              <w:t>Social, emotional &amp; behavioural support)</w:t>
            </w:r>
          </w:p>
        </w:tc>
        <w:tc>
          <w:tcPr>
            <w:tcW w:w="411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A3E03BD" w14:textId="16273B1F" w:rsidR="00147F7E" w:rsidRPr="00186B09" w:rsidRDefault="00147F7E" w:rsidP="00147F7E">
            <w:pPr>
              <w:pStyle w:val="TableRowCentered"/>
              <w:ind w:left="0" w:right="0"/>
              <w:jc w:val="left"/>
              <w:rPr>
                <w:sz w:val="22"/>
                <w:szCs w:val="22"/>
              </w:rPr>
            </w:pPr>
            <w:r>
              <w:rPr>
                <w:color w:val="000000"/>
                <w:position w:val="-3"/>
                <w:szCs w:val="24"/>
              </w:rPr>
              <w:lastRenderedPageBreak/>
              <w:t xml:space="preserve">EEF – Social and Emotional Learning (SEL) interventions have a positive average impact (+3 months) and offer substantial benefits for wellbeing and behaviour when embedded and supported by PD. See: </w:t>
            </w:r>
            <w:hyperlink r:id="rId24" w:history="1">
              <w:r>
                <w:rPr>
                  <w:rStyle w:val="DefaultParagraphFontPHPDOCX"/>
                  <w:color w:val="0000CC"/>
                  <w:position w:val="-3"/>
                  <w:szCs w:val="24"/>
                  <w:u w:val="single" w:color="000000"/>
                </w:rPr>
                <w:t xml:space="preserve">EEF – Social and Emotional </w:t>
              </w:r>
              <w:r>
                <w:rPr>
                  <w:rStyle w:val="DefaultParagraphFontPHPDOCX"/>
                  <w:color w:val="0000CC"/>
                  <w:position w:val="-3"/>
                  <w:szCs w:val="24"/>
                  <w:u w:val="single" w:color="000000"/>
                </w:rPr>
                <w:lastRenderedPageBreak/>
                <w:t>Learning</w:t>
              </w:r>
            </w:hyperlink>
            <w:r>
              <w:rPr>
                <w:color w:val="000000"/>
                <w:position w:val="-3"/>
                <w:szCs w:val="24"/>
              </w:rPr>
              <w:t xml:space="preserve"> and EEF guidance “Improving SEL in Primary Schools.”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37A9" w14:textId="79F789AE" w:rsidR="00147F7E" w:rsidRPr="00186B09" w:rsidRDefault="006B0B42" w:rsidP="00147F7E">
            <w:pPr>
              <w:pStyle w:val="TableRowCentered"/>
              <w:ind w:left="0" w:right="0"/>
              <w:jc w:val="left"/>
              <w:rPr>
                <w:sz w:val="22"/>
                <w:szCs w:val="22"/>
              </w:rPr>
            </w:pPr>
            <w:r>
              <w:rPr>
                <w:sz w:val="22"/>
                <w:szCs w:val="22"/>
              </w:rPr>
              <w:lastRenderedPageBreak/>
              <w:t>1,5,6</w:t>
            </w:r>
          </w:p>
        </w:tc>
      </w:tr>
      <w:tr w:rsidR="00147F7E" w14:paraId="655974CB" w14:textId="77777777" w:rsidTr="009726A4">
        <w:tc>
          <w:tcPr>
            <w:tcW w:w="396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0676EDD" w14:textId="7A13C0B1" w:rsidR="00147F7E" w:rsidRPr="00186B09" w:rsidRDefault="00147F7E" w:rsidP="00147F7E">
            <w:pPr>
              <w:pStyle w:val="TableRow"/>
              <w:rPr>
                <w:i/>
                <w:sz w:val="22"/>
                <w:szCs w:val="22"/>
              </w:rPr>
            </w:pPr>
            <w:r>
              <w:rPr>
                <w:color w:val="000000"/>
                <w:position w:val="-3"/>
              </w:rPr>
              <w:t>4. SEMH targeted interventions and increased Cove pastoral capacity: small-group therapeutic interventions, mentoring, and liaison with external services (Early Help, Social Care, CAMHS as needed). (Tier 3: Targeted SEMH support)</w:t>
            </w:r>
          </w:p>
        </w:tc>
        <w:tc>
          <w:tcPr>
            <w:tcW w:w="411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B14D52D" w14:textId="62D43B7D" w:rsidR="00147F7E" w:rsidRDefault="00147F7E" w:rsidP="00147F7E">
            <w:pPr>
              <w:pStyle w:val="TableRowCentered"/>
              <w:ind w:left="0" w:right="0"/>
              <w:jc w:val="left"/>
              <w:rPr>
                <w:sz w:val="22"/>
                <w:szCs w:val="22"/>
              </w:rPr>
            </w:pPr>
            <w:r>
              <w:rPr>
                <w:color w:val="000000"/>
                <w:position w:val="-3"/>
                <w:szCs w:val="24"/>
              </w:rPr>
              <w:t xml:space="preserve">EEF – SEL and targeted responsive approaches are effective when tailored to individual needs; EEF attendance REA also highlights responsive, tailored support for barriers to attendance. See: </w:t>
            </w:r>
            <w:hyperlink r:id="rId25" w:history="1">
              <w:r>
                <w:rPr>
                  <w:rStyle w:val="DefaultParagraphFontPHPDOCX"/>
                  <w:color w:val="0000CC"/>
                  <w:position w:val="-3"/>
                  <w:szCs w:val="24"/>
                  <w:u w:val="single" w:color="000000"/>
                </w:rPr>
                <w:t>EEF – Social and Emotional Learning</w:t>
              </w:r>
            </w:hyperlink>
            <w:r>
              <w:rPr>
                <w:color w:val="000000"/>
                <w:position w:val="-3"/>
                <w:szCs w:val="24"/>
              </w:rPr>
              <w:t xml:space="preserve"> and </w:t>
            </w:r>
            <w:hyperlink r:id="rId26" w:history="1">
              <w:r>
                <w:rPr>
                  <w:rStyle w:val="DefaultParagraphFontPHPDOCX"/>
                  <w:color w:val="0000CC"/>
                  <w:position w:val="-3"/>
                  <w:szCs w:val="24"/>
                  <w:u w:val="single" w:color="000000"/>
                </w:rPr>
                <w:t>EEF – Attendance interventions rapid evidence assessment</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2DE5E" w14:textId="66ADC25D" w:rsidR="00147F7E" w:rsidRDefault="006B0B42" w:rsidP="00147F7E">
            <w:pPr>
              <w:pStyle w:val="TableRowCentered"/>
              <w:ind w:left="0" w:right="0"/>
              <w:jc w:val="left"/>
              <w:rPr>
                <w:sz w:val="22"/>
                <w:szCs w:val="22"/>
              </w:rPr>
            </w:pPr>
            <w:r>
              <w:rPr>
                <w:sz w:val="22"/>
                <w:szCs w:val="22"/>
              </w:rPr>
              <w:t>1,5,6</w:t>
            </w:r>
          </w:p>
        </w:tc>
      </w:tr>
      <w:tr w:rsidR="00147F7E" w14:paraId="46650C65" w14:textId="77777777" w:rsidTr="009726A4">
        <w:tc>
          <w:tcPr>
            <w:tcW w:w="396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16F64E3F" w14:textId="02FB078D" w:rsidR="00147F7E" w:rsidRPr="00186B09" w:rsidRDefault="00147F7E" w:rsidP="00147F7E">
            <w:pPr>
              <w:pStyle w:val="TableRow"/>
              <w:rPr>
                <w:i/>
                <w:sz w:val="22"/>
                <w:szCs w:val="22"/>
              </w:rPr>
            </w:pPr>
            <w:r>
              <w:rPr>
                <w:color w:val="000000"/>
                <w:position w:val="-3"/>
              </w:rPr>
              <w:t>5. Enrichment &amp; cultural capital programme: targeted subsidised visits, beach‑school curriculum experiences (</w:t>
            </w:r>
            <w:proofErr w:type="spellStart"/>
            <w:r>
              <w:rPr>
                <w:color w:val="000000"/>
                <w:position w:val="-3"/>
              </w:rPr>
              <w:t>Zetland</w:t>
            </w:r>
            <w:proofErr w:type="spellEnd"/>
            <w:r>
              <w:rPr>
                <w:color w:val="000000"/>
                <w:position w:val="-3"/>
              </w:rPr>
              <w:t xml:space="preserve"> is already a beach school — embed disadvantaged access), residentials or </w:t>
            </w:r>
            <w:proofErr w:type="gramStart"/>
            <w:r>
              <w:rPr>
                <w:color w:val="000000"/>
                <w:position w:val="-3"/>
              </w:rPr>
              <w:t>day-trips</w:t>
            </w:r>
            <w:proofErr w:type="gramEnd"/>
            <w:r>
              <w:rPr>
                <w:color w:val="000000"/>
                <w:position w:val="-3"/>
              </w:rPr>
              <w:t>, visiting artists, after-school clubs (music/choir/sport), and holiday activities. Prioritise disadvantaged pupils and measure participation. (Tier 3: Extra‑curricular activities &amp; cultural capital)</w:t>
            </w:r>
          </w:p>
        </w:tc>
        <w:tc>
          <w:tcPr>
            <w:tcW w:w="411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022477F8" w14:textId="735D573B" w:rsidR="00147F7E" w:rsidRDefault="00147F7E" w:rsidP="00147F7E">
            <w:pPr>
              <w:pStyle w:val="TableRowCentered"/>
              <w:ind w:left="0" w:right="0"/>
              <w:jc w:val="left"/>
              <w:rPr>
                <w:sz w:val="22"/>
                <w:szCs w:val="22"/>
              </w:rPr>
            </w:pPr>
            <w:r>
              <w:rPr>
                <w:color w:val="000000"/>
                <w:position w:val="-3"/>
                <w:szCs w:val="24"/>
              </w:rPr>
              <w:t xml:space="preserve">EEF – Guide to the Pupil Premium and evidence summaries advocate wider strategies (extra-curricular / cultural experiences) to raise engagement and broaden cultural capital; EEF notes limited but promising evidence for extracurricular programmes combined with other supports. See: </w:t>
            </w:r>
            <w:hyperlink r:id="rId27" w:history="1">
              <w:r>
                <w:rPr>
                  <w:rStyle w:val="DefaultParagraphFontPHPDOCX"/>
                  <w:color w:val="0000CC"/>
                  <w:position w:val="-3"/>
                  <w:szCs w:val="24"/>
                  <w:u w:val="single" w:color="000000"/>
                </w:rPr>
                <w:t>EEF – Guide to the Pupil Premium</w:t>
              </w:r>
            </w:hyperlink>
            <w:r>
              <w:rPr>
                <w:color w:val="000000"/>
                <w:position w:val="-3"/>
                <w:szCs w:val="24"/>
              </w:rPr>
              <w:t xml:space="preserve"> and EEF news on testing cultural learning strategies.</w:t>
            </w:r>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1B1798" w14:textId="69243653" w:rsidR="00147F7E" w:rsidRDefault="006B0B42" w:rsidP="00147F7E">
            <w:pPr>
              <w:pStyle w:val="TableRowCentered"/>
              <w:ind w:left="0" w:right="0"/>
              <w:jc w:val="left"/>
              <w:rPr>
                <w:sz w:val="22"/>
                <w:szCs w:val="22"/>
              </w:rPr>
            </w:pPr>
            <w:r>
              <w:rPr>
                <w:sz w:val="22"/>
                <w:szCs w:val="22"/>
              </w:rPr>
              <w:t>1,5,6</w:t>
            </w:r>
          </w:p>
        </w:tc>
      </w:tr>
      <w:tr w:rsidR="00147F7E" w14:paraId="41097C92" w14:textId="77777777" w:rsidTr="009726A4">
        <w:tc>
          <w:tcPr>
            <w:tcW w:w="3964"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450BB4B6" w14:textId="56E00E86" w:rsidR="00147F7E" w:rsidRPr="00186B09" w:rsidRDefault="00147F7E" w:rsidP="00147F7E">
            <w:pPr>
              <w:pStyle w:val="TableRow"/>
              <w:rPr>
                <w:i/>
                <w:sz w:val="22"/>
                <w:szCs w:val="22"/>
              </w:rPr>
            </w:pPr>
            <w:r>
              <w:rPr>
                <w:color w:val="000000"/>
                <w:position w:val="-3"/>
              </w:rPr>
              <w:t>6. Family support and parental engagement programme: run workshops to build parents’ capacity to support reading at home (how to read with children, phonics at home), attendance conversations, and signposting to local services. Use personalised communication (texts, calls) to reinforce attendance and learning routines. (Tier 3: Parent engagement &amp; community links)</w:t>
            </w:r>
          </w:p>
        </w:tc>
        <w:tc>
          <w:tcPr>
            <w:tcW w:w="4111" w:type="dxa"/>
            <w:tcBorders>
              <w:top w:val="single" w:sz="5" w:space="0" w:color="000000"/>
              <w:left w:val="single" w:sz="5" w:space="0" w:color="000000"/>
              <w:bottom w:val="single" w:sz="5" w:space="0" w:color="000000"/>
              <w:right w:val="single" w:sz="5" w:space="0" w:color="000000"/>
            </w:tcBorders>
            <w:tcMar>
              <w:top w:w="0" w:type="dxa"/>
              <w:left w:w="108" w:type="dxa"/>
              <w:bottom w:w="0" w:type="dxa"/>
              <w:right w:w="108" w:type="dxa"/>
            </w:tcMar>
            <w:vAlign w:val="center"/>
          </w:tcPr>
          <w:p w14:paraId="6D2072A5" w14:textId="124430C7" w:rsidR="00147F7E" w:rsidRDefault="00147F7E" w:rsidP="00147F7E">
            <w:pPr>
              <w:pStyle w:val="TableRowCentered"/>
              <w:ind w:left="0" w:right="0"/>
              <w:jc w:val="left"/>
              <w:rPr>
                <w:sz w:val="22"/>
                <w:szCs w:val="22"/>
              </w:rPr>
            </w:pPr>
            <w:r>
              <w:rPr>
                <w:color w:val="000000"/>
                <w:position w:val="-3"/>
                <w:szCs w:val="24"/>
              </w:rPr>
              <w:t xml:space="preserve">EEF – Attendance REA highlights parental engagement as a promising approach for attendance improvement; EEF literacy guidance recommends supporting parents to build reading at home. See: </w:t>
            </w:r>
            <w:hyperlink r:id="rId28" w:history="1">
              <w:r>
                <w:rPr>
                  <w:rStyle w:val="DefaultParagraphFontPHPDOCX"/>
                  <w:color w:val="0000CC"/>
                  <w:position w:val="-3"/>
                  <w:szCs w:val="24"/>
                  <w:u w:val="single" w:color="000000"/>
                </w:rPr>
                <w:t>EEF – Attendance interventions rapid evidence assessment</w:t>
              </w:r>
            </w:hyperlink>
            <w:r>
              <w:rPr>
                <w:color w:val="000000"/>
                <w:position w:val="-3"/>
                <w:szCs w:val="24"/>
              </w:rPr>
              <w:t xml:space="preserve"> and </w:t>
            </w:r>
            <w:hyperlink r:id="rId29" w:history="1">
              <w:r>
                <w:rPr>
                  <w:rStyle w:val="DefaultParagraphFontPHPDOCX"/>
                  <w:color w:val="0000CC"/>
                  <w:position w:val="-3"/>
                  <w:szCs w:val="24"/>
                  <w:u w:val="single" w:color="000000"/>
                </w:rPr>
                <w:t>EEF – Preparing for Literacy / Early years literacy guidance</w:t>
              </w:r>
            </w:hyperlink>
          </w:p>
        </w:tc>
        <w:tc>
          <w:tcPr>
            <w:tcW w:w="14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B1D8E" w14:textId="41C2B6B4" w:rsidR="00147F7E" w:rsidRDefault="006B0B42" w:rsidP="00147F7E">
            <w:pPr>
              <w:pStyle w:val="TableRowCentered"/>
              <w:ind w:left="0" w:right="0"/>
              <w:jc w:val="left"/>
              <w:rPr>
                <w:sz w:val="22"/>
                <w:szCs w:val="22"/>
              </w:rPr>
            </w:pPr>
            <w:r>
              <w:rPr>
                <w:sz w:val="22"/>
                <w:szCs w:val="22"/>
              </w:rPr>
              <w:t>1,5,6</w:t>
            </w:r>
          </w:p>
        </w:tc>
      </w:tr>
    </w:tbl>
    <w:p w14:paraId="2A7D5540" w14:textId="77777777" w:rsidR="00E66558" w:rsidRDefault="00E66558">
      <w:pPr>
        <w:spacing w:before="240" w:after="0"/>
        <w:rPr>
          <w:b/>
          <w:bCs/>
          <w:color w:val="104F75"/>
          <w:sz w:val="28"/>
          <w:szCs w:val="28"/>
        </w:rPr>
      </w:pPr>
    </w:p>
    <w:p w14:paraId="2A7D5541" w14:textId="21303515" w:rsidR="00E66558" w:rsidRDefault="009D71E8" w:rsidP="00120AB1">
      <w:r>
        <w:rPr>
          <w:b/>
          <w:bCs/>
          <w:color w:val="104F75"/>
          <w:sz w:val="28"/>
          <w:szCs w:val="28"/>
        </w:rPr>
        <w:t xml:space="preserve">Total budgeted cost: £ </w:t>
      </w:r>
      <w:r w:rsidR="00CD719F">
        <w:rPr>
          <w:i/>
          <w:iCs/>
          <w:color w:val="104F75"/>
          <w:sz w:val="28"/>
          <w:szCs w:val="28"/>
        </w:rPr>
        <w:t>10</w:t>
      </w:r>
      <w:r w:rsidR="005E7B60">
        <w:rPr>
          <w:i/>
          <w:iCs/>
          <w:color w:val="104F75"/>
          <w:sz w:val="28"/>
          <w:szCs w:val="28"/>
        </w:rPr>
        <w:t>1</w:t>
      </w:r>
      <w:r w:rsidR="00CD719F">
        <w:rPr>
          <w:i/>
          <w:iCs/>
          <w:color w:val="104F75"/>
          <w:sz w:val="28"/>
          <w:szCs w:val="28"/>
        </w:rPr>
        <w:t>,</w:t>
      </w:r>
      <w:r w:rsidR="005E7B60">
        <w:rPr>
          <w:i/>
          <w:iCs/>
          <w:color w:val="104F75"/>
          <w:sz w:val="28"/>
          <w:szCs w:val="28"/>
        </w:rPr>
        <w:t>82</w:t>
      </w:r>
      <w:r w:rsidR="00CD719F">
        <w:rPr>
          <w:i/>
          <w:iCs/>
          <w:color w:val="104F75"/>
          <w:sz w:val="28"/>
          <w:szCs w:val="28"/>
        </w:rPr>
        <w:t>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726"/>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83FF8" w14:textId="512E7082" w:rsidR="0064167B" w:rsidRDefault="00FB4275" w:rsidP="00242093">
            <w:pPr>
              <w:spacing w:before="60"/>
            </w:pPr>
            <w:r>
              <w:t>This details the impact that our pupil premium activity had on pupils in the 202</w:t>
            </w:r>
            <w:r w:rsidR="006569A6">
              <w:t>4</w:t>
            </w:r>
            <w:r>
              <w:t xml:space="preserve"> to 202</w:t>
            </w:r>
            <w:r w:rsidR="006569A6">
              <w:t>5</w:t>
            </w:r>
            <w:r>
              <w:t xml:space="preserve"> academic year.</w:t>
            </w:r>
          </w:p>
          <w:p w14:paraId="5023926C" w14:textId="132F1E9F" w:rsidR="00FB4275" w:rsidRPr="002F4C6F" w:rsidRDefault="0036181A" w:rsidP="00242093">
            <w:pPr>
              <w:spacing w:before="60"/>
              <w:rPr>
                <w:i/>
                <w:iCs/>
                <w:lang w:eastAsia="en-US"/>
              </w:rPr>
            </w:pPr>
            <w:r w:rsidRPr="0036181A">
              <w:rPr>
                <w:i/>
                <w:iCs/>
                <w:noProof/>
                <w:lang w:eastAsia="en-US"/>
              </w:rPr>
              <w:drawing>
                <wp:inline distT="0" distB="0" distL="0" distR="0" wp14:anchorId="11B6794E" wp14:editId="20585A03">
                  <wp:extent cx="6029960" cy="5752465"/>
                  <wp:effectExtent l="0" t="0" r="8890" b="635"/>
                  <wp:docPr id="7824071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407148" name=""/>
                          <pic:cNvPicPr/>
                        </pic:nvPicPr>
                        <pic:blipFill>
                          <a:blip r:embed="rId30"/>
                          <a:stretch>
                            <a:fillRect/>
                          </a:stretch>
                        </pic:blipFill>
                        <pic:spPr>
                          <a:xfrm>
                            <a:off x="0" y="0"/>
                            <a:ext cx="6029960" cy="5752465"/>
                          </a:xfrm>
                          <a:prstGeom prst="rect">
                            <a:avLst/>
                          </a:prstGeom>
                        </pic:spPr>
                      </pic:pic>
                    </a:graphicData>
                  </a:graphic>
                </wp:inline>
              </w:drawing>
            </w:r>
          </w:p>
        </w:tc>
      </w:tr>
    </w:tbl>
    <w:p w14:paraId="3FE0E820" w14:textId="77777777" w:rsidR="007972BF" w:rsidRPr="007972BF" w:rsidRDefault="007972BF" w:rsidP="007972BF"/>
    <w:p w14:paraId="0772A527" w14:textId="54368B41" w:rsidR="007972BF" w:rsidRPr="007972BF" w:rsidRDefault="007972BF" w:rsidP="007972BF">
      <w:pPr>
        <w:rPr>
          <w:sz w:val="22"/>
          <w:szCs w:val="22"/>
        </w:rPr>
      </w:pPr>
    </w:p>
    <w:p w14:paraId="00FC260C" w14:textId="65AA5A0D" w:rsidR="006731DE" w:rsidRDefault="006731DE" w:rsidP="006731DE">
      <w:pPr>
        <w:rPr>
          <w:i/>
          <w:sz w:val="22"/>
          <w:szCs w:val="22"/>
        </w:rPr>
      </w:pPr>
      <w:r w:rsidRPr="007972BF">
        <w:rPr>
          <w:b/>
          <w:sz w:val="22"/>
          <w:szCs w:val="22"/>
        </w:rPr>
        <w:t xml:space="preserve">Outcome </w:t>
      </w:r>
      <w:r>
        <w:rPr>
          <w:b/>
          <w:sz w:val="22"/>
          <w:szCs w:val="22"/>
        </w:rPr>
        <w:t>1</w:t>
      </w:r>
      <w:r w:rsidRPr="007972BF">
        <w:rPr>
          <w:b/>
          <w:sz w:val="22"/>
          <w:szCs w:val="22"/>
        </w:rPr>
        <w:t xml:space="preserve">: </w:t>
      </w:r>
      <w:r w:rsidRPr="00E46468">
        <w:rPr>
          <w:i/>
          <w:sz w:val="22"/>
          <w:szCs w:val="22"/>
        </w:rPr>
        <w:t>Most disadvantaged children to achieve the expected level or beyond in reading, writing and maths in line with national expectations and their peers.</w:t>
      </w:r>
    </w:p>
    <w:p w14:paraId="531C5FE1" w14:textId="6560907C" w:rsidR="006731DE" w:rsidRDefault="002211A4" w:rsidP="006731DE">
      <w:r>
        <w:t>63% of PPG children achieved at least expected in Reading and Writing</w:t>
      </w:r>
      <w:r w:rsidR="00033D28">
        <w:t xml:space="preserve"> – at least in line with </w:t>
      </w:r>
      <w:r w:rsidR="007021FA">
        <w:t>national PPG children</w:t>
      </w:r>
      <w:r w:rsidR="00214427">
        <w:t xml:space="preserve">. The number of PPG children achieving expected+ in </w:t>
      </w:r>
      <w:r w:rsidR="00214427">
        <w:lastRenderedPageBreak/>
        <w:t>mathematics</w:t>
      </w:r>
      <w:r w:rsidR="0099155C">
        <w:t xml:space="preserve"> was 38%</w:t>
      </w:r>
      <w:r w:rsidR="00391D2F">
        <w:t xml:space="preserve">, a gap of 23% </w:t>
      </w:r>
      <w:r w:rsidR="00DA0FA2">
        <w:t xml:space="preserve">from national disadvantaged and </w:t>
      </w:r>
      <w:r w:rsidR="00AA6050">
        <w:t xml:space="preserve">42% to national other. </w:t>
      </w:r>
    </w:p>
    <w:p w14:paraId="20DFD876" w14:textId="3A49F617" w:rsidR="006731DE" w:rsidRDefault="006731DE" w:rsidP="006731DE">
      <w:pPr>
        <w:rPr>
          <w:b/>
          <w:sz w:val="22"/>
          <w:szCs w:val="22"/>
        </w:rPr>
      </w:pPr>
      <w:r w:rsidRPr="007972BF">
        <w:rPr>
          <w:b/>
          <w:sz w:val="22"/>
          <w:szCs w:val="22"/>
        </w:rPr>
        <w:t xml:space="preserve">Outcome </w:t>
      </w:r>
      <w:r>
        <w:rPr>
          <w:b/>
          <w:sz w:val="22"/>
          <w:szCs w:val="22"/>
        </w:rPr>
        <w:t>2:</w:t>
      </w:r>
      <w:r w:rsidRPr="007972BF">
        <w:rPr>
          <w:b/>
          <w:sz w:val="22"/>
          <w:szCs w:val="22"/>
        </w:rPr>
        <w:t xml:space="preserve"> </w:t>
      </w:r>
      <w:r w:rsidRPr="00D250B5">
        <w:rPr>
          <w:i/>
          <w:sz w:val="22"/>
          <w:szCs w:val="22"/>
        </w:rPr>
        <w:t>Resilient and confident learners who persevere when faced with a challenge.</w:t>
      </w:r>
    </w:p>
    <w:p w14:paraId="467FF850" w14:textId="5556FBD1" w:rsidR="006731DE" w:rsidRDefault="006731DE" w:rsidP="006731DE">
      <w:r>
        <w:t xml:space="preserve">PPG children </w:t>
      </w:r>
      <w:r w:rsidR="005258FC">
        <w:t xml:space="preserve">had </w:t>
      </w:r>
      <w:proofErr w:type="gramStart"/>
      <w:r w:rsidR="005258FC">
        <w:t>a</w:t>
      </w:r>
      <w:proofErr w:type="gramEnd"/>
      <w:r w:rsidR="005258FC">
        <w:t xml:space="preserve"> </w:t>
      </w:r>
      <w:r w:rsidR="00C440D4">
        <w:t>attainment gap of -7% in maths high scores</w:t>
      </w:r>
      <w:r w:rsidR="003E57F6">
        <w:t xml:space="preserve">, </w:t>
      </w:r>
      <w:r w:rsidR="004F4743">
        <w:t>-</w:t>
      </w:r>
      <w:r w:rsidR="00276ED5">
        <w:t xml:space="preserve">27% gap in reading and -16% gap in writing. </w:t>
      </w:r>
    </w:p>
    <w:p w14:paraId="504E7A23" w14:textId="509045E7" w:rsidR="001660C4" w:rsidRPr="008C1988" w:rsidRDefault="001660C4" w:rsidP="006731DE">
      <w:r w:rsidRPr="001660C4">
        <w:rPr>
          <w:noProof/>
        </w:rPr>
        <w:drawing>
          <wp:inline distT="0" distB="0" distL="0" distR="0" wp14:anchorId="49D67FEA" wp14:editId="1C2031A6">
            <wp:extent cx="6029960" cy="3971925"/>
            <wp:effectExtent l="0" t="0" r="8890" b="9525"/>
            <wp:docPr id="244150282" name="Picture 1" descr="A chart with numbers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150282" name="Picture 1" descr="A chart with numbers and a number&#10;&#10;AI-generated content may be incorrect."/>
                    <pic:cNvPicPr/>
                  </pic:nvPicPr>
                  <pic:blipFill>
                    <a:blip r:embed="rId31"/>
                    <a:stretch>
                      <a:fillRect/>
                    </a:stretch>
                  </pic:blipFill>
                  <pic:spPr>
                    <a:xfrm>
                      <a:off x="0" y="0"/>
                      <a:ext cx="6029960" cy="3971925"/>
                    </a:xfrm>
                    <a:prstGeom prst="rect">
                      <a:avLst/>
                    </a:prstGeom>
                  </pic:spPr>
                </pic:pic>
              </a:graphicData>
            </a:graphic>
          </wp:inline>
        </w:drawing>
      </w:r>
    </w:p>
    <w:p w14:paraId="7AB22FC7" w14:textId="77777777" w:rsidR="006731DE" w:rsidRPr="002C1408" w:rsidRDefault="006731DE" w:rsidP="006731DE"/>
    <w:p w14:paraId="632AEE12" w14:textId="77777777" w:rsidR="006731DE" w:rsidRDefault="006731DE" w:rsidP="007972BF">
      <w:pPr>
        <w:rPr>
          <w:b/>
          <w:sz w:val="22"/>
          <w:szCs w:val="22"/>
        </w:rPr>
      </w:pPr>
    </w:p>
    <w:p w14:paraId="4B891E65" w14:textId="44C9E865" w:rsidR="007972BF" w:rsidRDefault="007972BF" w:rsidP="007972BF">
      <w:pPr>
        <w:rPr>
          <w:b/>
          <w:sz w:val="22"/>
          <w:szCs w:val="22"/>
        </w:rPr>
      </w:pPr>
      <w:r w:rsidRPr="007972BF">
        <w:rPr>
          <w:b/>
          <w:sz w:val="22"/>
          <w:szCs w:val="22"/>
        </w:rPr>
        <w:t xml:space="preserve">Outcome </w:t>
      </w:r>
      <w:r w:rsidR="006731DE">
        <w:rPr>
          <w:b/>
          <w:sz w:val="22"/>
          <w:szCs w:val="22"/>
        </w:rPr>
        <w:t>3</w:t>
      </w:r>
      <w:r w:rsidRPr="007972BF">
        <w:rPr>
          <w:b/>
          <w:sz w:val="22"/>
          <w:szCs w:val="22"/>
        </w:rPr>
        <w:t xml:space="preserve">: </w:t>
      </w:r>
      <w:r w:rsidR="005D406E" w:rsidRPr="004F25FA">
        <w:rPr>
          <w:i/>
          <w:sz w:val="22"/>
          <w:szCs w:val="22"/>
        </w:rPr>
        <w:t>Pupil’s starting points entering EYFS are significantly below where they should be</w:t>
      </w:r>
      <w:r w:rsidR="009518E0">
        <w:rPr>
          <w:i/>
          <w:sz w:val="22"/>
          <w:szCs w:val="22"/>
        </w:rPr>
        <w:t>.</w:t>
      </w:r>
    </w:p>
    <w:p w14:paraId="1F5576E6" w14:textId="36C89E8D" w:rsidR="00D8041B" w:rsidRDefault="00F113B5" w:rsidP="007972BF">
      <w:r w:rsidRPr="00F113B5">
        <w:t>The attainment gap between PPG and Non-PPG (national) was -1</w:t>
      </w:r>
      <w:r w:rsidR="00864D3D">
        <w:t>6</w:t>
      </w:r>
      <w:r w:rsidRPr="00F113B5">
        <w:t>%, better than national PPG children which was -</w:t>
      </w:r>
      <w:r w:rsidR="00D65555">
        <w:t>20</w:t>
      </w:r>
      <w:r w:rsidRPr="00F113B5">
        <w:t>%</w:t>
      </w:r>
      <w:r w:rsidR="007E78D8">
        <w:t>, and vastly improving on the previous gap of -52%</w:t>
      </w:r>
    </w:p>
    <w:p w14:paraId="1F09111E" w14:textId="77777777" w:rsidR="00E44D15" w:rsidRDefault="00E44D15" w:rsidP="007972BF"/>
    <w:p w14:paraId="3E32235F" w14:textId="77777777" w:rsidR="00E44D15" w:rsidRDefault="00E44D15" w:rsidP="007972BF"/>
    <w:p w14:paraId="70BCF81B" w14:textId="77777777" w:rsidR="00E44D15" w:rsidRDefault="00E44D15" w:rsidP="007972BF"/>
    <w:p w14:paraId="0389865D" w14:textId="77777777" w:rsidR="00E44D15" w:rsidRDefault="00E44D15" w:rsidP="007972BF"/>
    <w:p w14:paraId="30C46A2D" w14:textId="77777777" w:rsidR="00E44D15" w:rsidRDefault="00E44D15" w:rsidP="007972BF"/>
    <w:p w14:paraId="6C4BD1F1" w14:textId="4DF45096" w:rsidR="007C5489" w:rsidRDefault="003E58A5" w:rsidP="007972BF">
      <w:r>
        <w:lastRenderedPageBreak/>
        <w:t>GLD</w:t>
      </w:r>
      <w:r w:rsidR="007C5489">
        <w:t xml:space="preserve"> Data:</w:t>
      </w:r>
    </w:p>
    <w:p w14:paraId="0AC9E588" w14:textId="13480386" w:rsidR="003E58A5" w:rsidRDefault="003E58A5" w:rsidP="007972BF">
      <w:r w:rsidRPr="003E58A5">
        <w:rPr>
          <w:noProof/>
        </w:rPr>
        <w:drawing>
          <wp:inline distT="0" distB="0" distL="0" distR="0" wp14:anchorId="4CBBF94E" wp14:editId="65EDA71F">
            <wp:extent cx="4067743" cy="4353533"/>
            <wp:effectExtent l="0" t="0" r="9525" b="9525"/>
            <wp:docPr id="558631283"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631283" name="Picture 1" descr="A screenshot of a computer&#10;&#10;AI-generated content may be incorrect."/>
                    <pic:cNvPicPr/>
                  </pic:nvPicPr>
                  <pic:blipFill>
                    <a:blip r:embed="rId32"/>
                    <a:stretch>
                      <a:fillRect/>
                    </a:stretch>
                  </pic:blipFill>
                  <pic:spPr>
                    <a:xfrm>
                      <a:off x="0" y="0"/>
                      <a:ext cx="4067743" cy="4353533"/>
                    </a:xfrm>
                    <a:prstGeom prst="rect">
                      <a:avLst/>
                    </a:prstGeom>
                  </pic:spPr>
                </pic:pic>
              </a:graphicData>
            </a:graphic>
          </wp:inline>
        </w:drawing>
      </w:r>
    </w:p>
    <w:p w14:paraId="49B3CD6F" w14:textId="6AB48112" w:rsidR="006F419C" w:rsidRDefault="006F419C" w:rsidP="007972BF"/>
    <w:p w14:paraId="4ED1F9E2" w14:textId="2E104B29" w:rsidR="006731DE" w:rsidRDefault="006731DE" w:rsidP="006731DE">
      <w:pPr>
        <w:pStyle w:val="Heading2"/>
        <w:rPr>
          <w:rFonts w:cs="Arial"/>
          <w:color w:val="auto"/>
          <w:sz w:val="22"/>
          <w:szCs w:val="22"/>
        </w:rPr>
      </w:pPr>
      <w:r w:rsidRPr="007972BF">
        <w:rPr>
          <w:rFonts w:cs="Arial"/>
          <w:color w:val="auto"/>
          <w:sz w:val="22"/>
          <w:szCs w:val="22"/>
        </w:rPr>
        <w:t xml:space="preserve">Outcome </w:t>
      </w:r>
      <w:r w:rsidR="00C66E21">
        <w:rPr>
          <w:rFonts w:cs="Arial"/>
          <w:color w:val="auto"/>
          <w:sz w:val="22"/>
          <w:szCs w:val="22"/>
        </w:rPr>
        <w:t>4</w:t>
      </w:r>
      <w:r w:rsidRPr="007972BF">
        <w:rPr>
          <w:rFonts w:cs="Arial"/>
          <w:color w:val="auto"/>
          <w:sz w:val="22"/>
          <w:szCs w:val="22"/>
        </w:rPr>
        <w:t xml:space="preserve">: </w:t>
      </w:r>
      <w:r>
        <w:rPr>
          <w:i/>
          <w:iCs/>
          <w:sz w:val="22"/>
          <w:szCs w:val="22"/>
        </w:rPr>
        <w:t>Improvement in attendance to match non-disadvantaged</w:t>
      </w:r>
    </w:p>
    <w:p w14:paraId="686C3DCC" w14:textId="0C5A788C" w:rsidR="006731DE" w:rsidRPr="008F2A5D" w:rsidRDefault="006731DE" w:rsidP="006731DE">
      <w:r w:rsidRPr="007A11A4">
        <w:t>The attendance rate for pupils eligible for Pupil Premium funding was 94.3%, compared to 95.2% for non-Pupil Premium pupils. This indicates a gap of 0.9 percentage points, highlighting the need for continued focus on improving attendance among Pupil Premium pupils.</w:t>
      </w:r>
      <w:r w:rsidR="00C66E21">
        <w:t xml:space="preserve"> This has </w:t>
      </w:r>
      <w:r w:rsidR="00FB1D60">
        <w:t xml:space="preserve">increased from the previous year (23/24) </w:t>
      </w:r>
      <w:r w:rsidR="008508AF">
        <w:t>93.9%</w:t>
      </w:r>
      <w:r w:rsidR="00815153">
        <w:t>, demonstrating that the gap is closing</w:t>
      </w:r>
      <w:r w:rsidR="00C26A20">
        <w:t>.</w:t>
      </w:r>
    </w:p>
    <w:p w14:paraId="272CE9BF" w14:textId="77777777" w:rsidR="00E44D15" w:rsidRDefault="00E44D15" w:rsidP="00A82A98">
      <w:pPr>
        <w:pStyle w:val="Heading2"/>
      </w:pPr>
    </w:p>
    <w:p w14:paraId="604DC0CC" w14:textId="77777777" w:rsidR="00E44D15" w:rsidRDefault="00E44D15" w:rsidP="00A82A98">
      <w:pPr>
        <w:pStyle w:val="Heading2"/>
      </w:pPr>
    </w:p>
    <w:p w14:paraId="3D5681CB" w14:textId="77777777" w:rsidR="00E44D15" w:rsidRDefault="00E44D15" w:rsidP="00A82A98">
      <w:pPr>
        <w:pStyle w:val="Heading2"/>
      </w:pPr>
    </w:p>
    <w:p w14:paraId="2A7D5548" w14:textId="569F6E47" w:rsidR="00E66558" w:rsidRDefault="006D6372" w:rsidP="00A82A98">
      <w:pPr>
        <w:pStyle w:val="Heading2"/>
      </w:pPr>
      <w:r>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 xml:space="preserve">Please include the names of any non-DfE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4F5B5266" w:rsidR="00E66558" w:rsidRDefault="009D511F" w:rsidP="00F54FCB">
            <w:pPr>
              <w:pStyle w:val="TableRow"/>
              <w:ind w:left="0" w:right="0"/>
            </w:pPr>
            <w:r>
              <w:t>Reading Plus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495DF0B7" w:rsidR="00E66558" w:rsidRDefault="009D511F" w:rsidP="00F54FCB">
            <w:pPr>
              <w:pStyle w:val="TableRowCentered"/>
              <w:ind w:left="0" w:right="0"/>
              <w:jc w:val="left"/>
            </w:pPr>
            <w:r>
              <w:t>Reading Solutions UK</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3C5B8090" w:rsidR="00E66558" w:rsidRDefault="009D511F" w:rsidP="00F54FCB">
            <w:pPr>
              <w:pStyle w:val="TableRow"/>
              <w:ind w:left="0" w:right="0"/>
            </w:pPr>
            <w:proofErr w:type="spellStart"/>
            <w:r>
              <w:t>Grammarsaurus</w:t>
            </w:r>
            <w:proofErr w:type="spellEnd"/>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6C777E9F" w:rsidR="00E66558" w:rsidRDefault="009D511F" w:rsidP="00F54FCB">
            <w:pPr>
              <w:pStyle w:val="TableRowCentered"/>
              <w:ind w:left="0" w:right="0"/>
              <w:jc w:val="left"/>
            </w:pPr>
            <w:proofErr w:type="spellStart"/>
            <w:r>
              <w:t>Grammarsaurus</w:t>
            </w:r>
            <w:proofErr w:type="spellEnd"/>
          </w:p>
        </w:tc>
      </w:tr>
      <w:tr w:rsidR="009D511F" w14:paraId="13366E4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5BA6A4" w14:textId="64A7E4EC" w:rsidR="009D511F" w:rsidRDefault="009D511F" w:rsidP="00F54FCB">
            <w:pPr>
              <w:pStyle w:val="TableRow"/>
              <w:ind w:left="0" w:right="0"/>
            </w:pPr>
            <w:r>
              <w:t>Little Wandle</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4A623" w14:textId="6BBAE464" w:rsidR="009D511F" w:rsidRDefault="009D511F" w:rsidP="00F54FCB">
            <w:pPr>
              <w:pStyle w:val="TableRowCentered"/>
              <w:ind w:left="0" w:right="0"/>
              <w:jc w:val="left"/>
            </w:pPr>
            <w:r>
              <w:t xml:space="preserve">Letters and </w:t>
            </w:r>
            <w:proofErr w:type="gramStart"/>
            <w:r>
              <w:t>Sounds</w:t>
            </w:r>
            <w:proofErr w:type="gramEnd"/>
            <w:r>
              <w:t xml:space="preserve"> revised /Big Cat publishers</w:t>
            </w:r>
          </w:p>
        </w:tc>
      </w:tr>
      <w:tr w:rsidR="009D511F" w14:paraId="391A714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3139F0" w14:textId="4E593781" w:rsidR="009D511F" w:rsidRDefault="004075AC" w:rsidP="00F54FCB">
            <w:pPr>
              <w:pStyle w:val="TableRow"/>
              <w:ind w:left="0" w:right="0"/>
            </w:pPr>
            <w:r>
              <w:t>White Rose Maths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88831B" w14:textId="7958BFFD" w:rsidR="009D511F" w:rsidRDefault="009D511F" w:rsidP="00F54FCB">
            <w:pPr>
              <w:pStyle w:val="TableRowCentered"/>
              <w:ind w:left="0" w:right="0"/>
              <w:jc w:val="left"/>
            </w:pPr>
            <w:r>
              <w:t>White Rose Maths</w:t>
            </w: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2" w14:textId="7A9BAE22" w:rsidR="00E66558" w:rsidRPr="00AA355B" w:rsidRDefault="009D71E8">
            <w:pPr>
              <w:spacing w:before="120" w:after="120"/>
              <w:rPr>
                <w:rFonts w:cs="Arial"/>
                <w:i/>
                <w:iCs/>
              </w:rPr>
            </w:pPr>
            <w:r>
              <w:rPr>
                <w:rFonts w:cs="Arial"/>
                <w:i/>
                <w:iCs/>
              </w:rPr>
              <w:t xml:space="preserve">Use this space to provide any further information about your pupil premium strategy. For example, about </w:t>
            </w:r>
            <w:r w:rsidR="00BE44AC">
              <w:rPr>
                <w:rFonts w:cs="Arial"/>
                <w:i/>
                <w:iCs/>
              </w:rPr>
              <w:t xml:space="preserve">your </w:t>
            </w:r>
            <w:r>
              <w:rPr>
                <w:rFonts w:cs="Arial"/>
                <w:i/>
                <w:iCs/>
              </w:rPr>
              <w:t>strategy planning</w:t>
            </w:r>
            <w:r w:rsidR="00F15753">
              <w:rPr>
                <w:rFonts w:cs="Arial"/>
                <w:i/>
                <w:iCs/>
              </w:rPr>
              <w:t>, implementation</w:t>
            </w:r>
            <w:r w:rsidR="00BE44AC">
              <w:rPr>
                <w:rFonts w:cs="Arial"/>
                <w:i/>
                <w:iCs/>
              </w:rPr>
              <w:t xml:space="preserve"> and evaluation,</w:t>
            </w:r>
            <w:r>
              <w:rPr>
                <w:rFonts w:cs="Arial"/>
                <w:i/>
                <w:iCs/>
              </w:rPr>
              <w:t xml:space="preserve"> or other activity that you are</w:t>
            </w:r>
            <w:r w:rsidR="00F15753">
              <w:rPr>
                <w:rFonts w:cs="Arial"/>
                <w:i/>
                <w:iCs/>
              </w:rPr>
              <w:t xml:space="preserve"> deliver</w:t>
            </w:r>
            <w:r>
              <w:rPr>
                <w:rFonts w:cs="Arial"/>
                <w:i/>
                <w:iCs/>
              </w:rPr>
              <w:t>ing to support disadvantaged pupils that is not dependent on pupil premium funding.</w:t>
            </w:r>
          </w:p>
        </w:tc>
      </w:tr>
      <w:bookmarkEnd w:id="14"/>
      <w:bookmarkEnd w:id="15"/>
      <w:bookmarkEnd w:id="16"/>
    </w:tbl>
    <w:p w14:paraId="2A7D5564" w14:textId="77777777" w:rsidR="00E66558" w:rsidRDefault="00E66558"/>
    <w:sectPr w:rsidR="00E66558">
      <w:footerReference w:type="default" r:id="rId3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0A89B7" w14:textId="77777777" w:rsidR="007D687B" w:rsidRDefault="007D687B">
      <w:pPr>
        <w:spacing w:after="0" w:line="240" w:lineRule="auto"/>
      </w:pPr>
      <w:r>
        <w:separator/>
      </w:r>
    </w:p>
  </w:endnote>
  <w:endnote w:type="continuationSeparator" w:id="0">
    <w:p w14:paraId="756FBE27" w14:textId="77777777" w:rsidR="007D687B" w:rsidRDefault="007D687B">
      <w:pPr>
        <w:spacing w:after="0" w:line="240" w:lineRule="auto"/>
      </w:pPr>
      <w:r>
        <w:continuationSeparator/>
      </w:r>
    </w:p>
  </w:endnote>
  <w:endnote w:type="continuationNotice" w:id="1">
    <w:p w14:paraId="30EF0C50" w14:textId="77777777" w:rsidR="007D687B" w:rsidRDefault="007D68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85F6E3" w14:textId="77777777" w:rsidR="007D687B" w:rsidRDefault="007D687B">
      <w:pPr>
        <w:spacing w:after="0" w:line="240" w:lineRule="auto"/>
      </w:pPr>
      <w:r>
        <w:separator/>
      </w:r>
    </w:p>
  </w:footnote>
  <w:footnote w:type="continuationSeparator" w:id="0">
    <w:p w14:paraId="086AF72E" w14:textId="77777777" w:rsidR="007D687B" w:rsidRDefault="007D687B">
      <w:pPr>
        <w:spacing w:after="0" w:line="240" w:lineRule="auto"/>
      </w:pPr>
      <w:r>
        <w:continuationSeparator/>
      </w:r>
    </w:p>
  </w:footnote>
  <w:footnote w:type="continuationNotice" w:id="1">
    <w:p w14:paraId="36FF4B46" w14:textId="77777777" w:rsidR="007D687B" w:rsidRDefault="007D68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27F0"/>
    <w:multiLevelType w:val="multilevel"/>
    <w:tmpl w:val="936A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75187"/>
    <w:multiLevelType w:val="multilevel"/>
    <w:tmpl w:val="E0F48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4"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5" w15:restartNumberingAfterBreak="0">
    <w:nsid w:val="1F913B4F"/>
    <w:multiLevelType w:val="multilevel"/>
    <w:tmpl w:val="1FD69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8"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0" w15:restartNumberingAfterBreak="0">
    <w:nsid w:val="281433DE"/>
    <w:multiLevelType w:val="multilevel"/>
    <w:tmpl w:val="F04A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330A4C7D"/>
    <w:multiLevelType w:val="multilevel"/>
    <w:tmpl w:val="4A4A5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63F0382B"/>
    <w:multiLevelType w:val="multilevel"/>
    <w:tmpl w:val="1368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054418"/>
    <w:multiLevelType w:val="multilevel"/>
    <w:tmpl w:val="35F0B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0"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1" w15:restartNumberingAfterBreak="0">
    <w:nsid w:val="6F3E73DC"/>
    <w:multiLevelType w:val="multilevel"/>
    <w:tmpl w:val="1056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76B15FF"/>
    <w:multiLevelType w:val="multilevel"/>
    <w:tmpl w:val="F3E6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EC2B8E"/>
    <w:multiLevelType w:val="multilevel"/>
    <w:tmpl w:val="1ECA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2935775">
    <w:abstractNumId w:val="8"/>
  </w:num>
  <w:num w:numId="2" w16cid:durableId="1064989048">
    <w:abstractNumId w:val="6"/>
  </w:num>
  <w:num w:numId="3" w16cid:durableId="1058045049">
    <w:abstractNumId w:val="9"/>
  </w:num>
  <w:num w:numId="4" w16cid:durableId="1406368365">
    <w:abstractNumId w:val="11"/>
  </w:num>
  <w:num w:numId="5" w16cid:durableId="449010963">
    <w:abstractNumId w:val="2"/>
  </w:num>
  <w:num w:numId="6" w16cid:durableId="1909655635">
    <w:abstractNumId w:val="13"/>
  </w:num>
  <w:num w:numId="7" w16cid:durableId="1228227954">
    <w:abstractNumId w:val="19"/>
  </w:num>
  <w:num w:numId="8" w16cid:durableId="472138094">
    <w:abstractNumId w:val="24"/>
  </w:num>
  <w:num w:numId="9" w16cid:durableId="594171427">
    <w:abstractNumId w:val="22"/>
  </w:num>
  <w:num w:numId="10" w16cid:durableId="1251155524">
    <w:abstractNumId w:val="20"/>
  </w:num>
  <w:num w:numId="11" w16cid:durableId="622007546">
    <w:abstractNumId w:val="7"/>
  </w:num>
  <w:num w:numId="12" w16cid:durableId="457185732">
    <w:abstractNumId w:val="23"/>
  </w:num>
  <w:num w:numId="13" w16cid:durableId="1714033409">
    <w:abstractNumId w:val="16"/>
  </w:num>
  <w:num w:numId="14" w16cid:durableId="406265507">
    <w:abstractNumId w:val="14"/>
  </w:num>
  <w:num w:numId="15" w16cid:durableId="1989161569">
    <w:abstractNumId w:val="4"/>
  </w:num>
  <w:num w:numId="16" w16cid:durableId="1000503202">
    <w:abstractNumId w:val="3"/>
  </w:num>
  <w:num w:numId="17" w16cid:durableId="1306858083">
    <w:abstractNumId w:val="15"/>
  </w:num>
  <w:num w:numId="18" w16cid:durableId="1824420533">
    <w:abstractNumId w:val="1"/>
  </w:num>
  <w:num w:numId="19" w16cid:durableId="1509514927">
    <w:abstractNumId w:val="17"/>
  </w:num>
  <w:num w:numId="20" w16cid:durableId="738478955">
    <w:abstractNumId w:val="25"/>
  </w:num>
  <w:num w:numId="21" w16cid:durableId="103161735">
    <w:abstractNumId w:val="5"/>
  </w:num>
  <w:num w:numId="22" w16cid:durableId="1857889766">
    <w:abstractNumId w:val="0"/>
  </w:num>
  <w:num w:numId="23" w16cid:durableId="418840733">
    <w:abstractNumId w:val="10"/>
  </w:num>
  <w:num w:numId="24" w16cid:durableId="1628968159">
    <w:abstractNumId w:val="12"/>
  </w:num>
  <w:num w:numId="25" w16cid:durableId="719091558">
    <w:abstractNumId w:val="18"/>
  </w:num>
  <w:num w:numId="26" w16cid:durableId="59524903">
    <w:abstractNumId w:val="26"/>
  </w:num>
  <w:num w:numId="27" w16cid:durableId="12385113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07067"/>
    <w:rsid w:val="0001088D"/>
    <w:rsid w:val="00010EA1"/>
    <w:rsid w:val="000169EE"/>
    <w:rsid w:val="00023729"/>
    <w:rsid w:val="000243B4"/>
    <w:rsid w:val="0002530E"/>
    <w:rsid w:val="0002710D"/>
    <w:rsid w:val="00031EA0"/>
    <w:rsid w:val="00033D28"/>
    <w:rsid w:val="00036678"/>
    <w:rsid w:val="000407EA"/>
    <w:rsid w:val="000450E3"/>
    <w:rsid w:val="000452EB"/>
    <w:rsid w:val="00045603"/>
    <w:rsid w:val="000463AE"/>
    <w:rsid w:val="00047772"/>
    <w:rsid w:val="000507A3"/>
    <w:rsid w:val="0005742B"/>
    <w:rsid w:val="00060A62"/>
    <w:rsid w:val="00063C26"/>
    <w:rsid w:val="00064366"/>
    <w:rsid w:val="00066B73"/>
    <w:rsid w:val="00071481"/>
    <w:rsid w:val="00071D77"/>
    <w:rsid w:val="00075FAE"/>
    <w:rsid w:val="00082619"/>
    <w:rsid w:val="00082F38"/>
    <w:rsid w:val="000837DB"/>
    <w:rsid w:val="0008384B"/>
    <w:rsid w:val="000929EC"/>
    <w:rsid w:val="00093CDE"/>
    <w:rsid w:val="00094929"/>
    <w:rsid w:val="000A5C58"/>
    <w:rsid w:val="000A6379"/>
    <w:rsid w:val="000B0D49"/>
    <w:rsid w:val="000B203E"/>
    <w:rsid w:val="000B2D2A"/>
    <w:rsid w:val="000D22B0"/>
    <w:rsid w:val="000D318D"/>
    <w:rsid w:val="000D35C9"/>
    <w:rsid w:val="000D520C"/>
    <w:rsid w:val="000D6596"/>
    <w:rsid w:val="000D6779"/>
    <w:rsid w:val="000E1134"/>
    <w:rsid w:val="000E6DF0"/>
    <w:rsid w:val="00101C92"/>
    <w:rsid w:val="001037CB"/>
    <w:rsid w:val="0010629E"/>
    <w:rsid w:val="00114288"/>
    <w:rsid w:val="00115538"/>
    <w:rsid w:val="00116FA8"/>
    <w:rsid w:val="00120AB1"/>
    <w:rsid w:val="00123A7F"/>
    <w:rsid w:val="001278D0"/>
    <w:rsid w:val="00127F72"/>
    <w:rsid w:val="00140646"/>
    <w:rsid w:val="0014409B"/>
    <w:rsid w:val="00147A4B"/>
    <w:rsid w:val="00147F7E"/>
    <w:rsid w:val="00152554"/>
    <w:rsid w:val="00155944"/>
    <w:rsid w:val="001559D7"/>
    <w:rsid w:val="00163632"/>
    <w:rsid w:val="0016523C"/>
    <w:rsid w:val="001660C4"/>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6B09"/>
    <w:rsid w:val="001873B6"/>
    <w:rsid w:val="001901E6"/>
    <w:rsid w:val="00191305"/>
    <w:rsid w:val="001948FB"/>
    <w:rsid w:val="001956D4"/>
    <w:rsid w:val="00195B55"/>
    <w:rsid w:val="001A2FE8"/>
    <w:rsid w:val="001A33AC"/>
    <w:rsid w:val="001B2ADE"/>
    <w:rsid w:val="001C1C51"/>
    <w:rsid w:val="001D4FC9"/>
    <w:rsid w:val="001E0ECA"/>
    <w:rsid w:val="001E1393"/>
    <w:rsid w:val="001E1B5E"/>
    <w:rsid w:val="001E206F"/>
    <w:rsid w:val="001E5750"/>
    <w:rsid w:val="001E66BA"/>
    <w:rsid w:val="001E7739"/>
    <w:rsid w:val="001F3DB4"/>
    <w:rsid w:val="001F7564"/>
    <w:rsid w:val="00203DB9"/>
    <w:rsid w:val="00204F40"/>
    <w:rsid w:val="00205C17"/>
    <w:rsid w:val="00205DEF"/>
    <w:rsid w:val="002112C3"/>
    <w:rsid w:val="002131E5"/>
    <w:rsid w:val="00214427"/>
    <w:rsid w:val="00216223"/>
    <w:rsid w:val="00216C8A"/>
    <w:rsid w:val="002211A4"/>
    <w:rsid w:val="00226317"/>
    <w:rsid w:val="00231539"/>
    <w:rsid w:val="0024011D"/>
    <w:rsid w:val="00242093"/>
    <w:rsid w:val="00243F22"/>
    <w:rsid w:val="002523E3"/>
    <w:rsid w:val="00252AD6"/>
    <w:rsid w:val="002542CE"/>
    <w:rsid w:val="00257295"/>
    <w:rsid w:val="00257A4E"/>
    <w:rsid w:val="00261054"/>
    <w:rsid w:val="00266FA5"/>
    <w:rsid w:val="00276ED5"/>
    <w:rsid w:val="00276FBA"/>
    <w:rsid w:val="00277665"/>
    <w:rsid w:val="002837AE"/>
    <w:rsid w:val="00283E85"/>
    <w:rsid w:val="00287FA8"/>
    <w:rsid w:val="002920F4"/>
    <w:rsid w:val="00292F7A"/>
    <w:rsid w:val="002940F3"/>
    <w:rsid w:val="00295842"/>
    <w:rsid w:val="002B1F30"/>
    <w:rsid w:val="002B3574"/>
    <w:rsid w:val="002B6B74"/>
    <w:rsid w:val="002C1408"/>
    <w:rsid w:val="002C6AE7"/>
    <w:rsid w:val="002D2D4B"/>
    <w:rsid w:val="002D3805"/>
    <w:rsid w:val="002E2389"/>
    <w:rsid w:val="002E62EE"/>
    <w:rsid w:val="002E66AE"/>
    <w:rsid w:val="002E7763"/>
    <w:rsid w:val="002F4C6F"/>
    <w:rsid w:val="002F5011"/>
    <w:rsid w:val="002F5842"/>
    <w:rsid w:val="002F6F0C"/>
    <w:rsid w:val="002F7847"/>
    <w:rsid w:val="00306CB7"/>
    <w:rsid w:val="00307274"/>
    <w:rsid w:val="00307ABF"/>
    <w:rsid w:val="00310EE5"/>
    <w:rsid w:val="003111F5"/>
    <w:rsid w:val="00313AE2"/>
    <w:rsid w:val="00317664"/>
    <w:rsid w:val="003205FA"/>
    <w:rsid w:val="00325323"/>
    <w:rsid w:val="00336200"/>
    <w:rsid w:val="00337418"/>
    <w:rsid w:val="00340B02"/>
    <w:rsid w:val="0034216A"/>
    <w:rsid w:val="003500C5"/>
    <w:rsid w:val="00351D83"/>
    <w:rsid w:val="00352197"/>
    <w:rsid w:val="00352D97"/>
    <w:rsid w:val="00353E46"/>
    <w:rsid w:val="003576C4"/>
    <w:rsid w:val="0036181A"/>
    <w:rsid w:val="0036277A"/>
    <w:rsid w:val="00366AB0"/>
    <w:rsid w:val="003700E8"/>
    <w:rsid w:val="0037437C"/>
    <w:rsid w:val="00377521"/>
    <w:rsid w:val="0037782D"/>
    <w:rsid w:val="003807E1"/>
    <w:rsid w:val="00381127"/>
    <w:rsid w:val="0038146B"/>
    <w:rsid w:val="0038340F"/>
    <w:rsid w:val="00383ACD"/>
    <w:rsid w:val="00384457"/>
    <w:rsid w:val="00384F24"/>
    <w:rsid w:val="00391D2F"/>
    <w:rsid w:val="003A32B2"/>
    <w:rsid w:val="003A34C0"/>
    <w:rsid w:val="003A47DD"/>
    <w:rsid w:val="003A5F67"/>
    <w:rsid w:val="003A634F"/>
    <w:rsid w:val="003B14C1"/>
    <w:rsid w:val="003B2884"/>
    <w:rsid w:val="003B588A"/>
    <w:rsid w:val="003B621D"/>
    <w:rsid w:val="003C4388"/>
    <w:rsid w:val="003C4C27"/>
    <w:rsid w:val="003C7F7B"/>
    <w:rsid w:val="003D0CD6"/>
    <w:rsid w:val="003D2EAA"/>
    <w:rsid w:val="003D448C"/>
    <w:rsid w:val="003D70C9"/>
    <w:rsid w:val="003E054C"/>
    <w:rsid w:val="003E1EC5"/>
    <w:rsid w:val="003E27A0"/>
    <w:rsid w:val="003E3872"/>
    <w:rsid w:val="003E4ECF"/>
    <w:rsid w:val="003E57F6"/>
    <w:rsid w:val="003E58A5"/>
    <w:rsid w:val="003F58DC"/>
    <w:rsid w:val="003F70D3"/>
    <w:rsid w:val="004044AA"/>
    <w:rsid w:val="004044C8"/>
    <w:rsid w:val="00404F3F"/>
    <w:rsid w:val="004075AC"/>
    <w:rsid w:val="00410B5D"/>
    <w:rsid w:val="00413BEC"/>
    <w:rsid w:val="0042265E"/>
    <w:rsid w:val="0042289B"/>
    <w:rsid w:val="00424ED7"/>
    <w:rsid w:val="00425258"/>
    <w:rsid w:val="00426217"/>
    <w:rsid w:val="00431A80"/>
    <w:rsid w:val="00433641"/>
    <w:rsid w:val="00435A89"/>
    <w:rsid w:val="00452267"/>
    <w:rsid w:val="00453307"/>
    <w:rsid w:val="00454EE1"/>
    <w:rsid w:val="00455A02"/>
    <w:rsid w:val="00457E36"/>
    <w:rsid w:val="00460BD3"/>
    <w:rsid w:val="00462F8F"/>
    <w:rsid w:val="004708F2"/>
    <w:rsid w:val="004721B7"/>
    <w:rsid w:val="004724DE"/>
    <w:rsid w:val="004770FE"/>
    <w:rsid w:val="0048157F"/>
    <w:rsid w:val="00481D56"/>
    <w:rsid w:val="00490408"/>
    <w:rsid w:val="00491078"/>
    <w:rsid w:val="004A2497"/>
    <w:rsid w:val="004A4C45"/>
    <w:rsid w:val="004A55C4"/>
    <w:rsid w:val="004B0485"/>
    <w:rsid w:val="004B0ED7"/>
    <w:rsid w:val="004B1F58"/>
    <w:rsid w:val="004B428E"/>
    <w:rsid w:val="004B4D0A"/>
    <w:rsid w:val="004B4D37"/>
    <w:rsid w:val="004B56F1"/>
    <w:rsid w:val="004C41E6"/>
    <w:rsid w:val="004C42F0"/>
    <w:rsid w:val="004D50C8"/>
    <w:rsid w:val="004D6B72"/>
    <w:rsid w:val="004E1D73"/>
    <w:rsid w:val="004E5450"/>
    <w:rsid w:val="004E57C3"/>
    <w:rsid w:val="004E72DD"/>
    <w:rsid w:val="004F22CD"/>
    <w:rsid w:val="004F25FA"/>
    <w:rsid w:val="004F4743"/>
    <w:rsid w:val="004F4838"/>
    <w:rsid w:val="005025FB"/>
    <w:rsid w:val="00503462"/>
    <w:rsid w:val="0051286E"/>
    <w:rsid w:val="00516021"/>
    <w:rsid w:val="00516457"/>
    <w:rsid w:val="00516641"/>
    <w:rsid w:val="0051729F"/>
    <w:rsid w:val="005201C6"/>
    <w:rsid w:val="00520A0C"/>
    <w:rsid w:val="005258FC"/>
    <w:rsid w:val="00530E37"/>
    <w:rsid w:val="00535946"/>
    <w:rsid w:val="00544355"/>
    <w:rsid w:val="005452CF"/>
    <w:rsid w:val="0054633C"/>
    <w:rsid w:val="005464A1"/>
    <w:rsid w:val="00546F12"/>
    <w:rsid w:val="0055167E"/>
    <w:rsid w:val="0055339C"/>
    <w:rsid w:val="005542CC"/>
    <w:rsid w:val="00560424"/>
    <w:rsid w:val="00562B3C"/>
    <w:rsid w:val="005646FA"/>
    <w:rsid w:val="00564E40"/>
    <w:rsid w:val="005702D2"/>
    <w:rsid w:val="00573E1D"/>
    <w:rsid w:val="005750E2"/>
    <w:rsid w:val="0058313F"/>
    <w:rsid w:val="00584E03"/>
    <w:rsid w:val="00585859"/>
    <w:rsid w:val="00586DE2"/>
    <w:rsid w:val="00586FBC"/>
    <w:rsid w:val="005879C9"/>
    <w:rsid w:val="00594947"/>
    <w:rsid w:val="00594CAD"/>
    <w:rsid w:val="00596394"/>
    <w:rsid w:val="005A1D0B"/>
    <w:rsid w:val="005A3C6B"/>
    <w:rsid w:val="005B1EA5"/>
    <w:rsid w:val="005C0BBD"/>
    <w:rsid w:val="005C54A0"/>
    <w:rsid w:val="005D0D15"/>
    <w:rsid w:val="005D406E"/>
    <w:rsid w:val="005D7176"/>
    <w:rsid w:val="005E18CB"/>
    <w:rsid w:val="005E1F24"/>
    <w:rsid w:val="005E3667"/>
    <w:rsid w:val="005E4495"/>
    <w:rsid w:val="005E4C7A"/>
    <w:rsid w:val="005E73F1"/>
    <w:rsid w:val="005E7B60"/>
    <w:rsid w:val="005F07EF"/>
    <w:rsid w:val="005F16B6"/>
    <w:rsid w:val="005F2600"/>
    <w:rsid w:val="005F5224"/>
    <w:rsid w:val="005F7AA1"/>
    <w:rsid w:val="00600B2E"/>
    <w:rsid w:val="00601122"/>
    <w:rsid w:val="00605D66"/>
    <w:rsid w:val="00606521"/>
    <w:rsid w:val="00606A27"/>
    <w:rsid w:val="00607CEB"/>
    <w:rsid w:val="00611E9A"/>
    <w:rsid w:val="00613299"/>
    <w:rsid w:val="0061762D"/>
    <w:rsid w:val="00621966"/>
    <w:rsid w:val="006226C8"/>
    <w:rsid w:val="00634238"/>
    <w:rsid w:val="00635FBC"/>
    <w:rsid w:val="00636EB5"/>
    <w:rsid w:val="00637728"/>
    <w:rsid w:val="0064113A"/>
    <w:rsid w:val="0064167B"/>
    <w:rsid w:val="00642AC5"/>
    <w:rsid w:val="00643F96"/>
    <w:rsid w:val="00644002"/>
    <w:rsid w:val="00645093"/>
    <w:rsid w:val="0064526B"/>
    <w:rsid w:val="006458B1"/>
    <w:rsid w:val="00650529"/>
    <w:rsid w:val="00650BAB"/>
    <w:rsid w:val="00651737"/>
    <w:rsid w:val="00654E31"/>
    <w:rsid w:val="006569A6"/>
    <w:rsid w:val="00656A8F"/>
    <w:rsid w:val="00661FDB"/>
    <w:rsid w:val="006652DD"/>
    <w:rsid w:val="006671BF"/>
    <w:rsid w:val="00671AEB"/>
    <w:rsid w:val="00672A7D"/>
    <w:rsid w:val="006731DE"/>
    <w:rsid w:val="00681416"/>
    <w:rsid w:val="006A06F5"/>
    <w:rsid w:val="006A0ED2"/>
    <w:rsid w:val="006B0A73"/>
    <w:rsid w:val="006B0B42"/>
    <w:rsid w:val="006B5A6B"/>
    <w:rsid w:val="006C0F82"/>
    <w:rsid w:val="006C25E8"/>
    <w:rsid w:val="006C332E"/>
    <w:rsid w:val="006C4E33"/>
    <w:rsid w:val="006C5901"/>
    <w:rsid w:val="006D00F1"/>
    <w:rsid w:val="006D377A"/>
    <w:rsid w:val="006D4222"/>
    <w:rsid w:val="006D5BE3"/>
    <w:rsid w:val="006D6372"/>
    <w:rsid w:val="006D68C4"/>
    <w:rsid w:val="006D6E5C"/>
    <w:rsid w:val="006E02AF"/>
    <w:rsid w:val="006E0786"/>
    <w:rsid w:val="006E29E4"/>
    <w:rsid w:val="006E6B4A"/>
    <w:rsid w:val="006E6F2C"/>
    <w:rsid w:val="006E7449"/>
    <w:rsid w:val="006E7FB1"/>
    <w:rsid w:val="006F176B"/>
    <w:rsid w:val="006F2604"/>
    <w:rsid w:val="006F419C"/>
    <w:rsid w:val="006F5319"/>
    <w:rsid w:val="006F55FD"/>
    <w:rsid w:val="006F5D21"/>
    <w:rsid w:val="00702182"/>
    <w:rsid w:val="007021FA"/>
    <w:rsid w:val="007061DA"/>
    <w:rsid w:val="007109F6"/>
    <w:rsid w:val="00711BE3"/>
    <w:rsid w:val="0071742F"/>
    <w:rsid w:val="007206FA"/>
    <w:rsid w:val="00721B51"/>
    <w:rsid w:val="00722529"/>
    <w:rsid w:val="00722CB3"/>
    <w:rsid w:val="00724594"/>
    <w:rsid w:val="00724A17"/>
    <w:rsid w:val="00724FA7"/>
    <w:rsid w:val="00725415"/>
    <w:rsid w:val="007262CC"/>
    <w:rsid w:val="00727505"/>
    <w:rsid w:val="00731581"/>
    <w:rsid w:val="0073481D"/>
    <w:rsid w:val="00741B9E"/>
    <w:rsid w:val="00741E93"/>
    <w:rsid w:val="00743DAC"/>
    <w:rsid w:val="007455B3"/>
    <w:rsid w:val="00746227"/>
    <w:rsid w:val="007502CD"/>
    <w:rsid w:val="00752AE7"/>
    <w:rsid w:val="00752D3B"/>
    <w:rsid w:val="0075337B"/>
    <w:rsid w:val="0075344B"/>
    <w:rsid w:val="00755CD4"/>
    <w:rsid w:val="00757F96"/>
    <w:rsid w:val="007610B5"/>
    <w:rsid w:val="007623CB"/>
    <w:rsid w:val="00762652"/>
    <w:rsid w:val="00764551"/>
    <w:rsid w:val="0076556F"/>
    <w:rsid w:val="007677B8"/>
    <w:rsid w:val="00781713"/>
    <w:rsid w:val="007839A7"/>
    <w:rsid w:val="00785285"/>
    <w:rsid w:val="0078529D"/>
    <w:rsid w:val="00785E77"/>
    <w:rsid w:val="0078720B"/>
    <w:rsid w:val="00787DC1"/>
    <w:rsid w:val="00794070"/>
    <w:rsid w:val="007972BF"/>
    <w:rsid w:val="007A11A4"/>
    <w:rsid w:val="007A1810"/>
    <w:rsid w:val="007A63CA"/>
    <w:rsid w:val="007A713B"/>
    <w:rsid w:val="007A7DA0"/>
    <w:rsid w:val="007B4048"/>
    <w:rsid w:val="007B64E5"/>
    <w:rsid w:val="007C1F08"/>
    <w:rsid w:val="007C2F04"/>
    <w:rsid w:val="007C5489"/>
    <w:rsid w:val="007D5DCB"/>
    <w:rsid w:val="007D687B"/>
    <w:rsid w:val="007E78D8"/>
    <w:rsid w:val="007F06E5"/>
    <w:rsid w:val="007F5B8B"/>
    <w:rsid w:val="00803E55"/>
    <w:rsid w:val="00805BC0"/>
    <w:rsid w:val="00805F65"/>
    <w:rsid w:val="008067E0"/>
    <w:rsid w:val="00814FB9"/>
    <w:rsid w:val="00815153"/>
    <w:rsid w:val="00817E9A"/>
    <w:rsid w:val="008258D1"/>
    <w:rsid w:val="00827786"/>
    <w:rsid w:val="00827BDA"/>
    <w:rsid w:val="00830D57"/>
    <w:rsid w:val="00831F00"/>
    <w:rsid w:val="008508AF"/>
    <w:rsid w:val="00850CA0"/>
    <w:rsid w:val="0085101B"/>
    <w:rsid w:val="00852A2F"/>
    <w:rsid w:val="008608EE"/>
    <w:rsid w:val="00860B07"/>
    <w:rsid w:val="008616F6"/>
    <w:rsid w:val="0086259C"/>
    <w:rsid w:val="00864D3D"/>
    <w:rsid w:val="008674ED"/>
    <w:rsid w:val="00867932"/>
    <w:rsid w:val="0087074C"/>
    <w:rsid w:val="0087350D"/>
    <w:rsid w:val="00874913"/>
    <w:rsid w:val="00883F24"/>
    <w:rsid w:val="00887A88"/>
    <w:rsid w:val="00894B54"/>
    <w:rsid w:val="008954A1"/>
    <w:rsid w:val="00897E1F"/>
    <w:rsid w:val="008A3E8E"/>
    <w:rsid w:val="008A6060"/>
    <w:rsid w:val="008B2CB4"/>
    <w:rsid w:val="008B3D82"/>
    <w:rsid w:val="008B5503"/>
    <w:rsid w:val="008B6404"/>
    <w:rsid w:val="008C1988"/>
    <w:rsid w:val="008C2C21"/>
    <w:rsid w:val="008C590C"/>
    <w:rsid w:val="008C7DD3"/>
    <w:rsid w:val="008D054C"/>
    <w:rsid w:val="008E000B"/>
    <w:rsid w:val="008E2926"/>
    <w:rsid w:val="008E35C6"/>
    <w:rsid w:val="008E3F49"/>
    <w:rsid w:val="008E7FBC"/>
    <w:rsid w:val="008F243B"/>
    <w:rsid w:val="008F2A5D"/>
    <w:rsid w:val="008F4675"/>
    <w:rsid w:val="008F50FE"/>
    <w:rsid w:val="008F69CD"/>
    <w:rsid w:val="008F6E88"/>
    <w:rsid w:val="00901E60"/>
    <w:rsid w:val="00904A66"/>
    <w:rsid w:val="00905029"/>
    <w:rsid w:val="00913B68"/>
    <w:rsid w:val="00921A3A"/>
    <w:rsid w:val="0092287F"/>
    <w:rsid w:val="00924270"/>
    <w:rsid w:val="0092495B"/>
    <w:rsid w:val="0092660E"/>
    <w:rsid w:val="009326C0"/>
    <w:rsid w:val="00936519"/>
    <w:rsid w:val="009413AA"/>
    <w:rsid w:val="00941DA3"/>
    <w:rsid w:val="00942C0C"/>
    <w:rsid w:val="009444A8"/>
    <w:rsid w:val="00951711"/>
    <w:rsid w:val="009518E0"/>
    <w:rsid w:val="009539E3"/>
    <w:rsid w:val="00954083"/>
    <w:rsid w:val="00954A5E"/>
    <w:rsid w:val="009551B2"/>
    <w:rsid w:val="0096022C"/>
    <w:rsid w:val="009619B1"/>
    <w:rsid w:val="00964625"/>
    <w:rsid w:val="00965B57"/>
    <w:rsid w:val="009726A4"/>
    <w:rsid w:val="00976E26"/>
    <w:rsid w:val="00980937"/>
    <w:rsid w:val="00981C1D"/>
    <w:rsid w:val="00983FB8"/>
    <w:rsid w:val="0099109C"/>
    <w:rsid w:val="0099155C"/>
    <w:rsid w:val="009936DB"/>
    <w:rsid w:val="00993CFC"/>
    <w:rsid w:val="009A1A68"/>
    <w:rsid w:val="009A1DC2"/>
    <w:rsid w:val="009A5EEA"/>
    <w:rsid w:val="009B0906"/>
    <w:rsid w:val="009B38F2"/>
    <w:rsid w:val="009B7433"/>
    <w:rsid w:val="009C0914"/>
    <w:rsid w:val="009C27E5"/>
    <w:rsid w:val="009D24A1"/>
    <w:rsid w:val="009D3891"/>
    <w:rsid w:val="009D511F"/>
    <w:rsid w:val="009D71E8"/>
    <w:rsid w:val="009E0CF5"/>
    <w:rsid w:val="009E104B"/>
    <w:rsid w:val="009E7DE4"/>
    <w:rsid w:val="009F3BBD"/>
    <w:rsid w:val="00A022AB"/>
    <w:rsid w:val="00A063DD"/>
    <w:rsid w:val="00A112B5"/>
    <w:rsid w:val="00A14EEA"/>
    <w:rsid w:val="00A23F51"/>
    <w:rsid w:val="00A33636"/>
    <w:rsid w:val="00A44FBB"/>
    <w:rsid w:val="00A50104"/>
    <w:rsid w:val="00A51899"/>
    <w:rsid w:val="00A522E0"/>
    <w:rsid w:val="00A52823"/>
    <w:rsid w:val="00A60E28"/>
    <w:rsid w:val="00A63579"/>
    <w:rsid w:val="00A638AC"/>
    <w:rsid w:val="00A64475"/>
    <w:rsid w:val="00A727E5"/>
    <w:rsid w:val="00A748B5"/>
    <w:rsid w:val="00A76743"/>
    <w:rsid w:val="00A7797A"/>
    <w:rsid w:val="00A80A32"/>
    <w:rsid w:val="00A81948"/>
    <w:rsid w:val="00A82A98"/>
    <w:rsid w:val="00A82D16"/>
    <w:rsid w:val="00A852F2"/>
    <w:rsid w:val="00A8712A"/>
    <w:rsid w:val="00A95F75"/>
    <w:rsid w:val="00A968DA"/>
    <w:rsid w:val="00A96B83"/>
    <w:rsid w:val="00AA355B"/>
    <w:rsid w:val="00AA42E5"/>
    <w:rsid w:val="00AA6050"/>
    <w:rsid w:val="00AB24FA"/>
    <w:rsid w:val="00AB5161"/>
    <w:rsid w:val="00AC1159"/>
    <w:rsid w:val="00AC764B"/>
    <w:rsid w:val="00AD7B5A"/>
    <w:rsid w:val="00AE229F"/>
    <w:rsid w:val="00AE3AD3"/>
    <w:rsid w:val="00AF0618"/>
    <w:rsid w:val="00AF12B8"/>
    <w:rsid w:val="00AF5E20"/>
    <w:rsid w:val="00B002FA"/>
    <w:rsid w:val="00B00327"/>
    <w:rsid w:val="00B024B3"/>
    <w:rsid w:val="00B02D71"/>
    <w:rsid w:val="00B108A8"/>
    <w:rsid w:val="00B11DE8"/>
    <w:rsid w:val="00B179ED"/>
    <w:rsid w:val="00B20E18"/>
    <w:rsid w:val="00B331E1"/>
    <w:rsid w:val="00B34490"/>
    <w:rsid w:val="00B358D3"/>
    <w:rsid w:val="00B4532A"/>
    <w:rsid w:val="00B47C66"/>
    <w:rsid w:val="00B572C4"/>
    <w:rsid w:val="00B57337"/>
    <w:rsid w:val="00B60858"/>
    <w:rsid w:val="00B60D69"/>
    <w:rsid w:val="00B6234E"/>
    <w:rsid w:val="00B74D4E"/>
    <w:rsid w:val="00B80219"/>
    <w:rsid w:val="00B82791"/>
    <w:rsid w:val="00B82DA2"/>
    <w:rsid w:val="00B87184"/>
    <w:rsid w:val="00B91453"/>
    <w:rsid w:val="00BA19A5"/>
    <w:rsid w:val="00BB1D9B"/>
    <w:rsid w:val="00BB2907"/>
    <w:rsid w:val="00BB603C"/>
    <w:rsid w:val="00BB6902"/>
    <w:rsid w:val="00BC078B"/>
    <w:rsid w:val="00BC2790"/>
    <w:rsid w:val="00BC3A7D"/>
    <w:rsid w:val="00BC3E24"/>
    <w:rsid w:val="00BC67F6"/>
    <w:rsid w:val="00BD2004"/>
    <w:rsid w:val="00BD3BC4"/>
    <w:rsid w:val="00BD4B12"/>
    <w:rsid w:val="00BD700D"/>
    <w:rsid w:val="00BE2F92"/>
    <w:rsid w:val="00BE44AC"/>
    <w:rsid w:val="00BF0D5F"/>
    <w:rsid w:val="00BF30FC"/>
    <w:rsid w:val="00BF59B3"/>
    <w:rsid w:val="00BF6F95"/>
    <w:rsid w:val="00C05D75"/>
    <w:rsid w:val="00C10BCF"/>
    <w:rsid w:val="00C11EB4"/>
    <w:rsid w:val="00C12746"/>
    <w:rsid w:val="00C23C11"/>
    <w:rsid w:val="00C2441E"/>
    <w:rsid w:val="00C25827"/>
    <w:rsid w:val="00C26A20"/>
    <w:rsid w:val="00C31636"/>
    <w:rsid w:val="00C31BB8"/>
    <w:rsid w:val="00C373EA"/>
    <w:rsid w:val="00C4372C"/>
    <w:rsid w:val="00C43CA3"/>
    <w:rsid w:val="00C43D9D"/>
    <w:rsid w:val="00C43EA4"/>
    <w:rsid w:val="00C440D4"/>
    <w:rsid w:val="00C50040"/>
    <w:rsid w:val="00C52DFF"/>
    <w:rsid w:val="00C5303F"/>
    <w:rsid w:val="00C574E1"/>
    <w:rsid w:val="00C621C1"/>
    <w:rsid w:val="00C62989"/>
    <w:rsid w:val="00C657C4"/>
    <w:rsid w:val="00C65CBB"/>
    <w:rsid w:val="00C66E21"/>
    <w:rsid w:val="00C71D3D"/>
    <w:rsid w:val="00C72370"/>
    <w:rsid w:val="00C74684"/>
    <w:rsid w:val="00C77FEF"/>
    <w:rsid w:val="00C80F37"/>
    <w:rsid w:val="00C83659"/>
    <w:rsid w:val="00C839C1"/>
    <w:rsid w:val="00C97A7F"/>
    <w:rsid w:val="00CA4421"/>
    <w:rsid w:val="00CA5363"/>
    <w:rsid w:val="00CA7D07"/>
    <w:rsid w:val="00CB24A4"/>
    <w:rsid w:val="00CB5B17"/>
    <w:rsid w:val="00CB6AA0"/>
    <w:rsid w:val="00CC4443"/>
    <w:rsid w:val="00CC5CAF"/>
    <w:rsid w:val="00CD719F"/>
    <w:rsid w:val="00CE0050"/>
    <w:rsid w:val="00CE7E1B"/>
    <w:rsid w:val="00CF6BD8"/>
    <w:rsid w:val="00D04F25"/>
    <w:rsid w:val="00D06874"/>
    <w:rsid w:val="00D07530"/>
    <w:rsid w:val="00D07657"/>
    <w:rsid w:val="00D07FCB"/>
    <w:rsid w:val="00D173F7"/>
    <w:rsid w:val="00D20203"/>
    <w:rsid w:val="00D204E0"/>
    <w:rsid w:val="00D21354"/>
    <w:rsid w:val="00D22400"/>
    <w:rsid w:val="00D23F4A"/>
    <w:rsid w:val="00D250B5"/>
    <w:rsid w:val="00D25B85"/>
    <w:rsid w:val="00D264E2"/>
    <w:rsid w:val="00D278BA"/>
    <w:rsid w:val="00D324C7"/>
    <w:rsid w:val="00D33FE5"/>
    <w:rsid w:val="00D348C0"/>
    <w:rsid w:val="00D3578A"/>
    <w:rsid w:val="00D43A15"/>
    <w:rsid w:val="00D4463C"/>
    <w:rsid w:val="00D46182"/>
    <w:rsid w:val="00D46C7D"/>
    <w:rsid w:val="00D501EE"/>
    <w:rsid w:val="00D517DC"/>
    <w:rsid w:val="00D528D7"/>
    <w:rsid w:val="00D5360D"/>
    <w:rsid w:val="00D53EAB"/>
    <w:rsid w:val="00D5590D"/>
    <w:rsid w:val="00D573BA"/>
    <w:rsid w:val="00D61108"/>
    <w:rsid w:val="00D618E4"/>
    <w:rsid w:val="00D61DA5"/>
    <w:rsid w:val="00D6396A"/>
    <w:rsid w:val="00D642A3"/>
    <w:rsid w:val="00D65555"/>
    <w:rsid w:val="00D71B8A"/>
    <w:rsid w:val="00D72C08"/>
    <w:rsid w:val="00D75247"/>
    <w:rsid w:val="00D8041B"/>
    <w:rsid w:val="00D81325"/>
    <w:rsid w:val="00D875ED"/>
    <w:rsid w:val="00D877D0"/>
    <w:rsid w:val="00D90013"/>
    <w:rsid w:val="00D91B9C"/>
    <w:rsid w:val="00D92C1B"/>
    <w:rsid w:val="00D94CC7"/>
    <w:rsid w:val="00D95F55"/>
    <w:rsid w:val="00D97901"/>
    <w:rsid w:val="00DA0FA2"/>
    <w:rsid w:val="00DA1AF4"/>
    <w:rsid w:val="00DB0C60"/>
    <w:rsid w:val="00DB4023"/>
    <w:rsid w:val="00DB4D63"/>
    <w:rsid w:val="00DC5813"/>
    <w:rsid w:val="00DC5876"/>
    <w:rsid w:val="00DC641A"/>
    <w:rsid w:val="00DD21A1"/>
    <w:rsid w:val="00DD68FB"/>
    <w:rsid w:val="00DD6B7D"/>
    <w:rsid w:val="00DD6E14"/>
    <w:rsid w:val="00DE03F1"/>
    <w:rsid w:val="00DE15AC"/>
    <w:rsid w:val="00DE7CB3"/>
    <w:rsid w:val="00DF06E5"/>
    <w:rsid w:val="00DF2015"/>
    <w:rsid w:val="00DF3C6D"/>
    <w:rsid w:val="00E03264"/>
    <w:rsid w:val="00E061EC"/>
    <w:rsid w:val="00E0696B"/>
    <w:rsid w:val="00E10E81"/>
    <w:rsid w:val="00E13E51"/>
    <w:rsid w:val="00E20751"/>
    <w:rsid w:val="00E21F56"/>
    <w:rsid w:val="00E3014F"/>
    <w:rsid w:val="00E4027E"/>
    <w:rsid w:val="00E4286E"/>
    <w:rsid w:val="00E43EAD"/>
    <w:rsid w:val="00E44D15"/>
    <w:rsid w:val="00E46468"/>
    <w:rsid w:val="00E5396E"/>
    <w:rsid w:val="00E57FCD"/>
    <w:rsid w:val="00E62DCB"/>
    <w:rsid w:val="00E651DD"/>
    <w:rsid w:val="00E66558"/>
    <w:rsid w:val="00E70D81"/>
    <w:rsid w:val="00E717D2"/>
    <w:rsid w:val="00E726A6"/>
    <w:rsid w:val="00E73418"/>
    <w:rsid w:val="00E8109E"/>
    <w:rsid w:val="00E84CDF"/>
    <w:rsid w:val="00E85C23"/>
    <w:rsid w:val="00E86F05"/>
    <w:rsid w:val="00EA3A2A"/>
    <w:rsid w:val="00EA6B46"/>
    <w:rsid w:val="00EB1A4A"/>
    <w:rsid w:val="00EB4556"/>
    <w:rsid w:val="00EB4A11"/>
    <w:rsid w:val="00EB64C8"/>
    <w:rsid w:val="00ED4136"/>
    <w:rsid w:val="00ED5108"/>
    <w:rsid w:val="00ED6AE8"/>
    <w:rsid w:val="00EE291B"/>
    <w:rsid w:val="00EE2CB2"/>
    <w:rsid w:val="00EE334D"/>
    <w:rsid w:val="00EF485B"/>
    <w:rsid w:val="00EF5A6B"/>
    <w:rsid w:val="00F012CA"/>
    <w:rsid w:val="00F01752"/>
    <w:rsid w:val="00F017D2"/>
    <w:rsid w:val="00F0355A"/>
    <w:rsid w:val="00F05C44"/>
    <w:rsid w:val="00F07AE5"/>
    <w:rsid w:val="00F113B5"/>
    <w:rsid w:val="00F15753"/>
    <w:rsid w:val="00F21F92"/>
    <w:rsid w:val="00F24A7E"/>
    <w:rsid w:val="00F253EA"/>
    <w:rsid w:val="00F32ABA"/>
    <w:rsid w:val="00F33DC0"/>
    <w:rsid w:val="00F33F28"/>
    <w:rsid w:val="00F35A40"/>
    <w:rsid w:val="00F35FDE"/>
    <w:rsid w:val="00F40DE1"/>
    <w:rsid w:val="00F4142A"/>
    <w:rsid w:val="00F45C69"/>
    <w:rsid w:val="00F54FCB"/>
    <w:rsid w:val="00F62587"/>
    <w:rsid w:val="00F631A6"/>
    <w:rsid w:val="00F63E9E"/>
    <w:rsid w:val="00F63FEA"/>
    <w:rsid w:val="00F66AA7"/>
    <w:rsid w:val="00F6755B"/>
    <w:rsid w:val="00F75603"/>
    <w:rsid w:val="00F76843"/>
    <w:rsid w:val="00F776E1"/>
    <w:rsid w:val="00F77E8D"/>
    <w:rsid w:val="00F873B5"/>
    <w:rsid w:val="00F925EB"/>
    <w:rsid w:val="00F97033"/>
    <w:rsid w:val="00FA35FE"/>
    <w:rsid w:val="00FA533A"/>
    <w:rsid w:val="00FA6DD0"/>
    <w:rsid w:val="00FB1D60"/>
    <w:rsid w:val="00FB2054"/>
    <w:rsid w:val="00FB4275"/>
    <w:rsid w:val="00FC28DF"/>
    <w:rsid w:val="00FC7589"/>
    <w:rsid w:val="00FD1780"/>
    <w:rsid w:val="00FD2297"/>
    <w:rsid w:val="00FD406D"/>
    <w:rsid w:val="00FD573D"/>
    <w:rsid w:val="00FD6AC6"/>
    <w:rsid w:val="00FE3136"/>
    <w:rsid w:val="00FE50A3"/>
    <w:rsid w:val="00FE5204"/>
    <w:rsid w:val="00FE5896"/>
    <w:rsid w:val="00FE604C"/>
    <w:rsid w:val="00FE7B5E"/>
    <w:rsid w:val="00FF2000"/>
    <w:rsid w:val="00FF369D"/>
    <w:rsid w:val="00FF6CA3"/>
    <w:rsid w:val="00FF6FB0"/>
    <w:rsid w:val="00FF79A8"/>
    <w:rsid w:val="05B6D577"/>
    <w:rsid w:val="069AA0E3"/>
    <w:rsid w:val="07FFD3D3"/>
    <w:rsid w:val="0AA444A5"/>
    <w:rsid w:val="0B240EAF"/>
    <w:rsid w:val="13173609"/>
    <w:rsid w:val="15511BA4"/>
    <w:rsid w:val="1A172959"/>
    <w:rsid w:val="1CBF4D92"/>
    <w:rsid w:val="21EFE27B"/>
    <w:rsid w:val="2497129E"/>
    <w:rsid w:val="2860AB8E"/>
    <w:rsid w:val="2FFB967E"/>
    <w:rsid w:val="31CC4DD9"/>
    <w:rsid w:val="380BAE89"/>
    <w:rsid w:val="3A3F1ACF"/>
    <w:rsid w:val="3BE13FA2"/>
    <w:rsid w:val="3C5A6419"/>
    <w:rsid w:val="3EA4202B"/>
    <w:rsid w:val="407F390E"/>
    <w:rsid w:val="418407A1"/>
    <w:rsid w:val="491E3A64"/>
    <w:rsid w:val="4BF69EA0"/>
    <w:rsid w:val="527AB9F2"/>
    <w:rsid w:val="5726C435"/>
    <w:rsid w:val="5C40C457"/>
    <w:rsid w:val="5F3A7B6B"/>
    <w:rsid w:val="617B4808"/>
    <w:rsid w:val="625D1A15"/>
    <w:rsid w:val="6948C1C2"/>
    <w:rsid w:val="6D28B1AF"/>
    <w:rsid w:val="6D616F43"/>
    <w:rsid w:val="6EB73EE5"/>
    <w:rsid w:val="709C33EC"/>
    <w:rsid w:val="7F7BC0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 w:type="character" w:customStyle="1" w:styleId="DefaultParagraphFontPHPDOCX">
    <w:name w:val="Default Paragraph Font PHPDOCX"/>
    <w:uiPriority w:val="1"/>
    <w:semiHidden/>
    <w:unhideWhenUsed/>
    <w:rsid w:val="00257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18391941">
      <w:bodyDiv w:val="1"/>
      <w:marLeft w:val="0"/>
      <w:marRight w:val="0"/>
      <w:marTop w:val="0"/>
      <w:marBottom w:val="0"/>
      <w:divBdr>
        <w:top w:val="none" w:sz="0" w:space="0" w:color="auto"/>
        <w:left w:val="none" w:sz="0" w:space="0" w:color="auto"/>
        <w:bottom w:val="none" w:sz="0" w:space="0" w:color="auto"/>
        <w:right w:val="none" w:sz="0" w:space="0" w:color="auto"/>
      </w:divBdr>
    </w:div>
    <w:div w:id="98520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projects-and-evaluation/promising-programmes/nuffield-early-language-intervention" TargetMode="External"/><Relationship Id="rId18" Type="http://schemas.openxmlformats.org/officeDocument/2006/relationships/hyperlink" Target="https://educationendowmentfoundation.org.uk/education-evidence/teaching-learning-toolkit/phonics" TargetMode="External"/><Relationship Id="rId26" Type="http://schemas.openxmlformats.org/officeDocument/2006/relationships/hyperlink" Target="https://educationendowmentfoundation.org.uk/education-evidence/evidence-reviews/attendance-interventions-rapid-evidence-assessment" TargetMode="External"/><Relationship Id="rId3" Type="http://schemas.openxmlformats.org/officeDocument/2006/relationships/customXml" Target="../customXml/item3.xml"/><Relationship Id="rId21" Type="http://schemas.openxmlformats.org/officeDocument/2006/relationships/hyperlink" Target="https://educationendowmentfoundation.org.uk/education-evidence/evidence-reviews/attendance-interventions-rapid-evidence-assessment"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educationendowmentfoundation.org.uk/education-evidence/teaching-learning-toolkit/oral-language-interventions" TargetMode="External"/><Relationship Id="rId17" Type="http://schemas.openxmlformats.org/officeDocument/2006/relationships/hyperlink" Target="https://educationendowmentfoundation.org.uk/education-evidence/teaching-learning-toolkit/oral-language-interventions" TargetMode="External"/><Relationship Id="rId25" Type="http://schemas.openxmlformats.org/officeDocument/2006/relationships/hyperlink" Target="https://educationendowmentfoundation.org.uk/education-evidence/teaching-learning-toolkit/social-and-emotional-learning"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ducationendowmentfoundation.org.uk/projects-and-evaluation/promising-programmes/nuffield-early-language-intervention" TargetMode="External"/><Relationship Id="rId20" Type="http://schemas.openxmlformats.org/officeDocument/2006/relationships/hyperlink" Target="https://educationendowmentfoundation.org.uk/education-evidence/teaching-learning-toolkit/oral-language-interventions" TargetMode="External"/><Relationship Id="rId29" Type="http://schemas.openxmlformats.org/officeDocument/2006/relationships/hyperlink" Target="https://d2tic4wvo1iusb.cloudfront.net/production/eef-guidance-reports/literacy-early-years/Preparing_Literacy_Guidance_2018.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ducationendowmentfoundation.org.uk/education-evidence/teaching-learning-toolkit/phonics" TargetMode="External"/><Relationship Id="rId24" Type="http://schemas.openxmlformats.org/officeDocument/2006/relationships/hyperlink" Target="https://educationendowmentfoundation.org.uk/education-evidence/teaching-learning-toolkit/social-and-emotional-learning" TargetMode="External"/><Relationship Id="rId32"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s://educationendowmentfoundation.org.uk/education-evidence/teaching-learning-toolkit/oral-language-interventions" TargetMode="External"/><Relationship Id="rId23" Type="http://schemas.openxmlformats.org/officeDocument/2006/relationships/hyperlink" Target="https://educationendowmentfoundation.org.uk/education-evidence/evidence-reviews/attendance-interventions-rapid-evidence-assessment" TargetMode="External"/><Relationship Id="rId28" Type="http://schemas.openxmlformats.org/officeDocument/2006/relationships/hyperlink" Target="https://educationendowmentfoundation.org.uk/education-evidence/evidence-reviews/attendance-interventions-rapid-evidence-assessment" TargetMode="External"/><Relationship Id="rId10" Type="http://schemas.openxmlformats.org/officeDocument/2006/relationships/hyperlink" Target="https://educationendowmentfoundation.org.uk/using-pupil-premium" TargetMode="External"/><Relationship Id="rId19" Type="http://schemas.openxmlformats.org/officeDocument/2006/relationships/hyperlink" Target="https://educationendowmentfoundation.org.uk/using-pupil-premium" TargetMode="External"/><Relationship Id="rId31"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ducationendowmentfoundation.org.uk/using-pupil-premium" TargetMode="External"/><Relationship Id="rId22" Type="http://schemas.openxmlformats.org/officeDocument/2006/relationships/hyperlink" Target="https://educationendowmentfoundation.org.uk/news/taking-a-tailored-approach-to-improving-attendance" TargetMode="External"/><Relationship Id="rId27" Type="http://schemas.openxmlformats.org/officeDocument/2006/relationships/hyperlink" Target="https://educationendowmentfoundation.org.uk/using-pupil-premium" TargetMode="External"/><Relationship Id="rId30" Type="http://schemas.openxmlformats.org/officeDocument/2006/relationships/image" Target="media/image1.png"/><Relationship Id="rId35" Type="http://schemas.openxmlformats.org/officeDocument/2006/relationships/theme" Target="theme/theme1.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loudMigratorOriginId xmlns="34b08e5c-e7f8-4934-aad8-5a06310c9164" xsi:nil="true"/>
    <FileHash xmlns="34b08e5c-e7f8-4934-aad8-5a06310c9164" xsi:nil="true"/>
    <CloudMigratorVersion xmlns="34b08e5c-e7f8-4934-aad8-5a06310c9164" xsi:nil="true"/>
    <UniqueSourceRef xmlns="34b08e5c-e7f8-4934-aad8-5a06310c9164" xsi:nil="true"/>
    <TaxCatchAll xmlns="5ac9faac-380e-4053-a02e-03d4c893b4d3" xsi:nil="true"/>
    <lcf76f155ced4ddcb4097134ff3c332f xmlns="34b08e5c-e7f8-4934-aad8-5a06310c916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7F7A507F02BD478621BE64450CDEBD" ma:contentTypeVersion="20" ma:contentTypeDescription="Create a new document." ma:contentTypeScope="" ma:versionID="389e08e88103f7dcedde9074273b87f7">
  <xsd:schema xmlns:xsd="http://www.w3.org/2001/XMLSchema" xmlns:xs="http://www.w3.org/2001/XMLSchema" xmlns:p="http://schemas.microsoft.com/office/2006/metadata/properties" xmlns:ns2="34b08e5c-e7f8-4934-aad8-5a06310c9164" xmlns:ns3="5ac9faac-380e-4053-a02e-03d4c893b4d3" targetNamespace="http://schemas.microsoft.com/office/2006/metadata/properties" ma:root="true" ma:fieldsID="8428e3ea4f2f5c56c6f9719ef009ae8e" ns2:_="" ns3:_="">
    <xsd:import namespace="34b08e5c-e7f8-4934-aad8-5a06310c9164"/>
    <xsd:import namespace="5ac9faac-380e-4053-a02e-03d4c893b4d3"/>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08e5c-e7f8-4934-aad8-5a06310c9164" elementFormDefault="qualified">
    <xsd:import namespace="http://schemas.microsoft.com/office/2006/documentManagement/types"/>
    <xsd:import namespace="http://schemas.microsoft.com/office/infopath/2007/PartnerControls"/>
    <xsd:element name="CloudMigratorOriginId" ma:index="8" nillable="true" ma:displayName="CloudMigratorOriginId" ma:description="" ma:internalName="CloudMigratorOriginId">
      <xsd:simpleType>
        <xsd:restriction base="dms:Note">
          <xsd:maxLength value="255"/>
        </xsd:restriction>
      </xsd:simpleType>
    </xsd:element>
    <xsd:element name="FileHash" ma:index="9" nillable="true" ma:displayName="FileHash" ma:description="" ma:internalName="FileHash">
      <xsd:simpleType>
        <xsd:restriction base="dms:Note">
          <xsd:maxLength value="255"/>
        </xsd:restriction>
      </xsd:simpleType>
    </xsd:element>
    <xsd:element name="CloudMigratorVersion" ma:index="10" nillable="true" ma:displayName="CloudMigratorVersion" ma:description="" ma:internalName="CloudMigratorVersion">
      <xsd:simpleType>
        <xsd:restriction base="dms:Note">
          <xsd:maxLength value="255"/>
        </xsd:restriction>
      </xsd:simpleType>
    </xsd:element>
    <xsd:element name="UniqueSourceRef" ma:index="11" nillable="true" ma:displayName="UniqueSourceRef" ma:description=""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63ef9fac-9eee-4467-9a4a-3ad354ccac5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9faac-380e-4053-a02e-03d4c893b4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f619785-9b08-4174-8f5d-4195efc2e960}" ma:internalName="TaxCatchAll" ma:showField="CatchAllData" ma:web="5ac9faac-380e-4053-a02e-03d4c893b4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B996A2-ED26-4A47-9F37-E7A32F213A07}">
  <ds:schemaRefs>
    <ds:schemaRef ds:uri="http://schemas.microsoft.com/sharepoint/v3/contenttype/forms"/>
  </ds:schemaRefs>
</ds:datastoreItem>
</file>

<file path=customXml/itemProps2.xml><?xml version="1.0" encoding="utf-8"?>
<ds:datastoreItem xmlns:ds="http://schemas.openxmlformats.org/officeDocument/2006/customXml" ds:itemID="{7DA743E4-B57D-4560-8548-5FEFD44B5C01}">
  <ds:schemaRefs>
    <ds:schemaRef ds:uri="http://schemas.microsoft.com/office/2006/metadata/properties"/>
    <ds:schemaRef ds:uri="http://schemas.microsoft.com/office/infopath/2007/PartnerControls"/>
    <ds:schemaRef ds:uri="34b08e5c-e7f8-4934-aad8-5a06310c9164"/>
    <ds:schemaRef ds:uri="5ac9faac-380e-4053-a02e-03d4c893b4d3"/>
  </ds:schemaRefs>
</ds:datastoreItem>
</file>

<file path=customXml/itemProps3.xml><?xml version="1.0" encoding="utf-8"?>
<ds:datastoreItem xmlns:ds="http://schemas.openxmlformats.org/officeDocument/2006/customXml" ds:itemID="{FA53DCF5-2489-4746-B4B9-3040A6A489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08e5c-e7f8-4934-aad8-5a06310c9164"/>
    <ds:schemaRef ds:uri="5ac9faac-380e-4053-a02e-03d4c893b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1358</TotalTime>
  <Pages>13</Pages>
  <Words>2531</Words>
  <Characters>15642</Characters>
  <Application>Microsoft Office Word</Application>
  <DocSecurity>0</DocSecurity>
  <Lines>583</Lines>
  <Paragraphs>182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Mr Richardson</cp:lastModifiedBy>
  <cp:revision>151</cp:revision>
  <cp:lastPrinted>2014-09-18T05:26:00Z</cp:lastPrinted>
  <dcterms:created xsi:type="dcterms:W3CDTF">2024-09-27T08:28:00Z</dcterms:created>
  <dcterms:modified xsi:type="dcterms:W3CDTF">2025-11-25T16:15:00Z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0x0101004F7F7A507F02BD478621BE64450CDEBD</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