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13" w:rsidRPr="00062E7E" w:rsidRDefault="00307E68" w:rsidP="00062E7E">
      <w:pPr>
        <w:jc w:val="center"/>
        <w:rPr>
          <w:sz w:val="144"/>
          <w:szCs w:val="144"/>
        </w:rPr>
      </w:pPr>
      <w:proofErr w:type="spellStart"/>
      <w:r w:rsidRPr="00062E7E">
        <w:rPr>
          <w:sz w:val="144"/>
          <w:szCs w:val="144"/>
        </w:rPr>
        <w:t>Zetland</w:t>
      </w:r>
      <w:proofErr w:type="spellEnd"/>
      <w:r w:rsidRPr="00062E7E">
        <w:rPr>
          <w:sz w:val="144"/>
          <w:szCs w:val="144"/>
        </w:rPr>
        <w:t xml:space="preserve"> Primary School</w:t>
      </w:r>
    </w:p>
    <w:p w:rsidR="00062E7E" w:rsidRDefault="00062E7E" w:rsidP="00062E7E">
      <w:pPr>
        <w:jc w:val="center"/>
        <w:rPr>
          <w:sz w:val="144"/>
          <w:szCs w:val="144"/>
        </w:rPr>
      </w:pPr>
      <w:r w:rsidRPr="00062E7E">
        <w:rPr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E7E" w:rsidRDefault="00062E7E">
                            <w:r w:rsidRPr="00062E7E">
                              <w:rPr>
                                <w:noProof/>
                              </w:rPr>
                              <w:drawing>
                                <wp:inline distT="0" distB="0" distL="0" distR="0" wp14:anchorId="7BE7047D" wp14:editId="3D572313">
                                  <wp:extent cx="2077720" cy="20777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207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062E7E" w:rsidRDefault="00062E7E">
                      <w:r w:rsidRPr="00062E7E">
                        <w:rPr>
                          <w:noProof/>
                        </w:rPr>
                        <w:drawing>
                          <wp:inline distT="0" distB="0" distL="0" distR="0" wp14:anchorId="7BE7047D" wp14:editId="3D572313">
                            <wp:extent cx="2077720" cy="20777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207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E7E" w:rsidRDefault="00062E7E" w:rsidP="00062E7E">
      <w:pPr>
        <w:jc w:val="center"/>
        <w:rPr>
          <w:sz w:val="144"/>
          <w:szCs w:val="144"/>
        </w:rPr>
      </w:pPr>
    </w:p>
    <w:p w:rsidR="00307E68" w:rsidRDefault="00307E68" w:rsidP="00062E7E">
      <w:pPr>
        <w:jc w:val="center"/>
        <w:rPr>
          <w:sz w:val="144"/>
          <w:szCs w:val="144"/>
        </w:rPr>
      </w:pPr>
      <w:r w:rsidRPr="00062E7E">
        <w:rPr>
          <w:sz w:val="144"/>
          <w:szCs w:val="144"/>
        </w:rPr>
        <w:t>Accessibility Plan</w:t>
      </w:r>
    </w:p>
    <w:p w:rsidR="00062E7E" w:rsidRPr="000B6C8F" w:rsidRDefault="00062E7E" w:rsidP="00062E7E">
      <w:pPr>
        <w:rPr>
          <w:sz w:val="24"/>
          <w:szCs w:val="24"/>
        </w:rPr>
      </w:pPr>
      <w:r w:rsidRPr="000B6C8F">
        <w:rPr>
          <w:sz w:val="24"/>
          <w:szCs w:val="24"/>
        </w:rPr>
        <w:t>Implemented: December 2024</w:t>
      </w:r>
      <w:r w:rsidR="00034EEC" w:rsidRPr="000B6C8F">
        <w:rPr>
          <w:sz w:val="24"/>
          <w:szCs w:val="24"/>
        </w:rPr>
        <w:t xml:space="preserve"> to July 2026</w:t>
      </w:r>
    </w:p>
    <w:p w:rsidR="00062E7E" w:rsidRPr="000B6C8F" w:rsidRDefault="00062E7E" w:rsidP="00062E7E">
      <w:pPr>
        <w:rPr>
          <w:sz w:val="24"/>
          <w:szCs w:val="24"/>
        </w:rPr>
      </w:pPr>
      <w:r w:rsidRPr="000B6C8F">
        <w:rPr>
          <w:sz w:val="24"/>
          <w:szCs w:val="24"/>
        </w:rPr>
        <w:t xml:space="preserve">Review by: </w:t>
      </w:r>
      <w:r w:rsidR="00034EEC" w:rsidRPr="000B6C8F">
        <w:rPr>
          <w:sz w:val="24"/>
          <w:szCs w:val="24"/>
        </w:rPr>
        <w:t>September 2026</w:t>
      </w:r>
    </w:p>
    <w:p w:rsidR="00034EEC" w:rsidRDefault="00034EEC" w:rsidP="00062E7E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2211"/>
        <w:gridCol w:w="2032"/>
        <w:gridCol w:w="1672"/>
        <w:gridCol w:w="1834"/>
      </w:tblGrid>
      <w:tr w:rsidR="005E06BB" w:rsidTr="00C540D3">
        <w:tc>
          <w:tcPr>
            <w:tcW w:w="1268" w:type="dxa"/>
          </w:tcPr>
          <w:p w:rsidR="005E06BB" w:rsidRPr="00CA40FD" w:rsidRDefault="005E06BB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lastRenderedPageBreak/>
              <w:t>Objective:</w:t>
            </w:r>
          </w:p>
        </w:tc>
        <w:tc>
          <w:tcPr>
            <w:tcW w:w="7748" w:type="dxa"/>
            <w:gridSpan w:val="4"/>
          </w:tcPr>
          <w:p w:rsidR="005E06BB" w:rsidRPr="00CA40FD" w:rsidRDefault="005E06BB" w:rsidP="005E06B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To increase the extent to which disabled pupils can participate in the school’s curriculum.</w:t>
            </w:r>
          </w:p>
          <w:p w:rsidR="005E06BB" w:rsidRPr="00CA40FD" w:rsidRDefault="005E06BB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 w:val="restart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Action</w:t>
            </w:r>
          </w:p>
        </w:tc>
        <w:tc>
          <w:tcPr>
            <w:tcW w:w="204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Details</w:t>
            </w: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Timeline</w:t>
            </w:r>
          </w:p>
        </w:tc>
        <w:tc>
          <w:tcPr>
            <w:tcW w:w="1803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Success Criteria</w:t>
            </w: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Consultation with parents</w:t>
            </w:r>
          </w:p>
        </w:tc>
        <w:tc>
          <w:tcPr>
            <w:tcW w:w="2040" w:type="dxa"/>
          </w:tcPr>
          <w:p w:rsidR="00794487" w:rsidRPr="00CA40FD" w:rsidRDefault="00794487" w:rsidP="005E06B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Conduct meetings with parents to gather detailed information about each pupil's needs and disabilities.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July 2025</w:t>
            </w:r>
          </w:p>
        </w:tc>
        <w:tc>
          <w:tcPr>
            <w:tcW w:w="1803" w:type="dxa"/>
          </w:tcPr>
          <w:p w:rsidR="00794487" w:rsidRPr="00CA40FD" w:rsidRDefault="00794487" w:rsidP="005E06B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Documented profiles for all disabled pupils, with specific needs identified.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Breaking Down Learning</w:t>
            </w:r>
          </w:p>
        </w:tc>
        <w:tc>
          <w:tcPr>
            <w:tcW w:w="2040" w:type="dxa"/>
          </w:tcPr>
          <w:p w:rsidR="00794487" w:rsidRPr="00CA40FD" w:rsidRDefault="00794487" w:rsidP="00573BD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Implement strategies to break down learning into smaller, manageable steps to facilitate understanding and retention.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803" w:type="dxa"/>
          </w:tcPr>
          <w:p w:rsidR="00794487" w:rsidRPr="00CA40FD" w:rsidRDefault="00794487" w:rsidP="00573BD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Lesson plans will reflect differentiated learning objectives.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Resource Accessibility</w:t>
            </w:r>
          </w:p>
        </w:tc>
        <w:tc>
          <w:tcPr>
            <w:tcW w:w="2040" w:type="dxa"/>
          </w:tcPr>
          <w:p w:rsidR="00794487" w:rsidRPr="00CA40FD" w:rsidRDefault="00794487" w:rsidP="00573BD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Ensure all learning resources are accessible by using appropriate font sizes and colours.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September 2025</w:t>
            </w:r>
          </w:p>
        </w:tc>
        <w:tc>
          <w:tcPr>
            <w:tcW w:w="1803" w:type="dxa"/>
          </w:tcPr>
          <w:p w:rsidR="00794487" w:rsidRPr="00CA40FD" w:rsidRDefault="00794487" w:rsidP="007F75D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All printed materials will be reviewed and modified as necessary.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7F75D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Incorporating ‘No Pen/Pencil’ Days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:rsidR="00794487" w:rsidRPr="00CA40FD" w:rsidRDefault="00794487" w:rsidP="007F75D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Schedule regular ‘no pen/pencil’ days to encourage alternative methods of expression and learning.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803" w:type="dxa"/>
          </w:tcPr>
          <w:p w:rsidR="00794487" w:rsidRPr="00CA40FD" w:rsidRDefault="00794487" w:rsidP="007F75D0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Feedback from pupils on engagement and participation levels.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Diverse Learning Styles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Use multiple instructional styles (visual, auditory, </w:t>
            </w:r>
            <w:proofErr w:type="spellStart"/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kinesthetic</w:t>
            </w:r>
            <w:proofErr w:type="spellEnd"/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) to cater to different learning preferences.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803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Increased pupil engagement and understanding as measured through assessments.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Video Accessibility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Ensure all videos used in lessons </w:t>
            </w: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have captions for accessibility.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lastRenderedPageBreak/>
              <w:t>September 2025</w:t>
            </w:r>
          </w:p>
        </w:tc>
        <w:tc>
          <w:tcPr>
            <w:tcW w:w="1803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100% of video resources will </w:t>
            </w: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include captions.</w:t>
            </w:r>
          </w:p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Technology Access</w:t>
            </w:r>
          </w:p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Provide access to iPads and laptops, along with necessary support for disabled pupils.</w:t>
            </w:r>
          </w:p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803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Increased usage of technology in lessons by disabled pupils.</w:t>
            </w:r>
          </w:p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94487" w:rsidTr="00C540D3">
        <w:tc>
          <w:tcPr>
            <w:tcW w:w="1268" w:type="dxa"/>
            <w:vMerge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Activity Accessibility</w:t>
            </w:r>
          </w:p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Review all school activities, including trips and transport, to ensure they are accessible to disabled pupils.</w:t>
            </w:r>
          </w:p>
          <w:p w:rsidR="00794487" w:rsidRPr="00CA40FD" w:rsidRDefault="00794487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Ongoing</w:t>
            </w:r>
          </w:p>
        </w:tc>
        <w:tc>
          <w:tcPr>
            <w:tcW w:w="1803" w:type="dxa"/>
          </w:tcPr>
          <w:p w:rsidR="00794487" w:rsidRPr="00CA40FD" w:rsidRDefault="00794487" w:rsidP="00794487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  <w:t>All planned activities will include an accessibility assessment.</w:t>
            </w:r>
          </w:p>
        </w:tc>
      </w:tr>
      <w:tr w:rsidR="0043757F" w:rsidTr="00C540D3">
        <w:tc>
          <w:tcPr>
            <w:tcW w:w="1268" w:type="dxa"/>
          </w:tcPr>
          <w:p w:rsidR="0043757F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Objective:</w:t>
            </w:r>
          </w:p>
        </w:tc>
        <w:tc>
          <w:tcPr>
            <w:tcW w:w="7748" w:type="dxa"/>
            <w:gridSpan w:val="4"/>
          </w:tcPr>
          <w:p w:rsidR="0043757F" w:rsidRPr="00CA40FD" w:rsidRDefault="0043757F" w:rsidP="0043757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To improve the school's physical environment to enable disabled pupils to take advantage of the school’s facilities, services, and benefits.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94487" w:rsidTr="00C540D3">
        <w:tc>
          <w:tcPr>
            <w:tcW w:w="1268" w:type="dxa"/>
          </w:tcPr>
          <w:p w:rsidR="00794487" w:rsidRPr="00CA40FD" w:rsidRDefault="00794487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794487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040" w:type="dxa"/>
          </w:tcPr>
          <w:p w:rsidR="00794487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680" w:type="dxa"/>
          </w:tcPr>
          <w:p w:rsidR="00794487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Timeline</w:t>
            </w:r>
          </w:p>
        </w:tc>
        <w:tc>
          <w:tcPr>
            <w:tcW w:w="1803" w:type="dxa"/>
          </w:tcPr>
          <w:p w:rsidR="00794487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Success Criteria</w:t>
            </w:r>
          </w:p>
        </w:tc>
      </w:tr>
      <w:tr w:rsidR="0043757F" w:rsidTr="00C540D3">
        <w:tc>
          <w:tcPr>
            <w:tcW w:w="1268" w:type="dxa"/>
            <w:vMerge w:val="restart"/>
          </w:tcPr>
          <w:p w:rsidR="0043757F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CA5E6A" w:rsidRPr="00CA40FD" w:rsidRDefault="00CA5E6A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Space for Disabled Pupils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CA5E6A" w:rsidRPr="00CA40FD" w:rsidRDefault="00CA5E6A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Assess and reconfigure classroom layouts to provide adequate space for pupils with disabilities.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43757F" w:rsidRPr="00CA40FD" w:rsidRDefault="00CA5E6A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By July 2025</w:t>
            </w:r>
          </w:p>
        </w:tc>
        <w:tc>
          <w:tcPr>
            <w:tcW w:w="1803" w:type="dxa"/>
          </w:tcPr>
          <w:p w:rsidR="00CA5E6A" w:rsidRPr="00CA40FD" w:rsidRDefault="00CA5E6A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Classrooms will have designated areas that accommodate mobility aids.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757F" w:rsidTr="00C540D3">
        <w:tc>
          <w:tcPr>
            <w:tcW w:w="1268" w:type="dxa"/>
            <w:vMerge/>
          </w:tcPr>
          <w:p w:rsidR="0043757F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CA5E6A" w:rsidRPr="00CA40FD" w:rsidRDefault="00CA5E6A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Staff Training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CA5E6A" w:rsidRPr="00CA40FD" w:rsidRDefault="00CA5E6A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Obtain specialist advice and training for staff to better support pupils with disabilities.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43757F" w:rsidRPr="00CA40FD" w:rsidRDefault="00CA5E6A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By December 2025</w:t>
            </w:r>
          </w:p>
        </w:tc>
        <w:tc>
          <w:tcPr>
            <w:tcW w:w="1803" w:type="dxa"/>
          </w:tcPr>
          <w:p w:rsidR="00CA5E6A" w:rsidRPr="00CA40FD" w:rsidRDefault="003577D7" w:rsidP="00CA5E6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Relevant</w:t>
            </w:r>
            <w:r w:rsidR="00CA5E6A"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staff will have completed training sessions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757F" w:rsidTr="00C540D3">
        <w:tc>
          <w:tcPr>
            <w:tcW w:w="1268" w:type="dxa"/>
            <w:vMerge/>
          </w:tcPr>
          <w:p w:rsidR="0043757F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F8560F" w:rsidRPr="00CA40FD" w:rsidRDefault="00F8560F" w:rsidP="00F8560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Accessible Toilets</w:t>
            </w:r>
          </w:p>
          <w:p w:rsidR="0043757F" w:rsidRPr="00CA40FD" w:rsidRDefault="0043757F" w:rsidP="0043757F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F8560F" w:rsidRPr="00CA40FD" w:rsidRDefault="00F8560F" w:rsidP="00F8560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Ensure that accessible toilets are available and maintained for use by disabled pupils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43757F" w:rsidRPr="00CA40FD" w:rsidRDefault="00F8560F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July 2025</w:t>
            </w:r>
          </w:p>
        </w:tc>
        <w:tc>
          <w:tcPr>
            <w:tcW w:w="1803" w:type="dxa"/>
          </w:tcPr>
          <w:p w:rsidR="00F8560F" w:rsidRPr="00CA40FD" w:rsidRDefault="00F8560F" w:rsidP="00F8560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Accessible toilets will be fully functional and compliant with regulations.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43757F" w:rsidTr="00C540D3">
        <w:tc>
          <w:tcPr>
            <w:tcW w:w="1268" w:type="dxa"/>
            <w:vMerge/>
          </w:tcPr>
          <w:p w:rsidR="0043757F" w:rsidRPr="00CA40FD" w:rsidRDefault="0043757F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8467CB" w:rsidRPr="00CA40FD" w:rsidRDefault="008467CB" w:rsidP="008467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Disabled Parking</w:t>
            </w:r>
          </w:p>
          <w:p w:rsidR="0043757F" w:rsidRPr="00CA40FD" w:rsidRDefault="0043757F" w:rsidP="0043757F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8467CB" w:rsidRPr="00CA40FD" w:rsidRDefault="008467CB" w:rsidP="008467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Create designated parking spaces for disabled </w:t>
            </w: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individuals near the school entrance.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43757F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lastRenderedPageBreak/>
              <w:t>July 2025</w:t>
            </w:r>
          </w:p>
        </w:tc>
        <w:tc>
          <w:tcPr>
            <w:tcW w:w="1803" w:type="dxa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Clearly marked and maintained </w:t>
            </w: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parking spaces will be available.</w:t>
            </w:r>
          </w:p>
          <w:p w:rsidR="0043757F" w:rsidRPr="00CA40FD" w:rsidRDefault="0043757F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F3F62" w:rsidTr="00C540D3">
        <w:tc>
          <w:tcPr>
            <w:tcW w:w="1268" w:type="dxa"/>
            <w:vMerge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8" w:type="dxa"/>
            <w:gridSpan w:val="4"/>
          </w:tcPr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F3F62" w:rsidTr="00C540D3">
        <w:tc>
          <w:tcPr>
            <w:tcW w:w="1268" w:type="dxa"/>
            <w:vMerge w:val="restart"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Objective</w:t>
            </w:r>
          </w:p>
        </w:tc>
        <w:tc>
          <w:tcPr>
            <w:tcW w:w="7748" w:type="dxa"/>
            <w:gridSpan w:val="4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To improve the delivery of info</w:t>
            </w:r>
            <w:bookmarkStart w:id="0" w:name="_GoBack"/>
            <w:bookmarkEnd w:id="0"/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rmation to disabled pupils so that it is readily accessible.</w:t>
            </w:r>
          </w:p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F3F62" w:rsidTr="00C540D3">
        <w:tc>
          <w:tcPr>
            <w:tcW w:w="1268" w:type="dxa"/>
            <w:vMerge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2F3F62" w:rsidRPr="00CA40FD" w:rsidRDefault="002F3F62" w:rsidP="0043757F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040" w:type="dxa"/>
          </w:tcPr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680" w:type="dxa"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Timeline</w:t>
            </w:r>
          </w:p>
        </w:tc>
        <w:tc>
          <w:tcPr>
            <w:tcW w:w="1803" w:type="dxa"/>
          </w:tcPr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Success Criteria</w:t>
            </w:r>
          </w:p>
        </w:tc>
      </w:tr>
      <w:tr w:rsidR="002F3F62" w:rsidTr="00C540D3">
        <w:tc>
          <w:tcPr>
            <w:tcW w:w="1268" w:type="dxa"/>
            <w:vMerge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Alternative Formats</w:t>
            </w:r>
          </w:p>
          <w:p w:rsidR="002F3F62" w:rsidRPr="00CA40FD" w:rsidRDefault="002F3F62" w:rsidP="0043757F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Ensure that all written materials are available in alternative formats (e.g., large print, Braille, audio).</w:t>
            </w:r>
          </w:p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By September 2025</w:t>
            </w:r>
          </w:p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:rsidR="002F3F62" w:rsidRPr="00CA40FD" w:rsidRDefault="002F3F62" w:rsidP="002F3F6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100% of written communications will be available in requested formats.</w:t>
            </w:r>
          </w:p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2F3F62" w:rsidTr="00C540D3">
        <w:tc>
          <w:tcPr>
            <w:tcW w:w="1268" w:type="dxa"/>
            <w:vMerge/>
          </w:tcPr>
          <w:p w:rsidR="002F3F62" w:rsidRPr="00CA40FD" w:rsidRDefault="002F3F62" w:rsidP="00062E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5" w:type="dxa"/>
          </w:tcPr>
          <w:p w:rsidR="00863208" w:rsidRPr="00CA40FD" w:rsidRDefault="00863208" w:rsidP="00863208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Visual Aids</w:t>
            </w:r>
          </w:p>
          <w:p w:rsidR="002F3F62" w:rsidRPr="00CA40FD" w:rsidRDefault="002F3F62" w:rsidP="0043757F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</w:tcPr>
          <w:p w:rsidR="00C540D3" w:rsidRPr="00CA40FD" w:rsidRDefault="00C540D3" w:rsidP="00C540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Provide visual aids to students, parents, and carers to assist with the sharing of information.</w:t>
            </w:r>
          </w:p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2F3F62" w:rsidRPr="00CA40FD" w:rsidRDefault="00C540D3" w:rsidP="00062E7E">
            <w:pPr>
              <w:rPr>
                <w:rFonts w:cstheme="minorHAnsi"/>
                <w:sz w:val="24"/>
                <w:szCs w:val="24"/>
              </w:rPr>
            </w:pPr>
            <w:r w:rsidRPr="00CA40FD">
              <w:rPr>
                <w:rFonts w:cstheme="minorHAnsi"/>
                <w:sz w:val="24"/>
                <w:szCs w:val="24"/>
              </w:rPr>
              <w:t>By July 2025</w:t>
            </w:r>
          </w:p>
        </w:tc>
        <w:tc>
          <w:tcPr>
            <w:tcW w:w="1803" w:type="dxa"/>
          </w:tcPr>
          <w:p w:rsidR="00C540D3" w:rsidRPr="00CA40FD" w:rsidRDefault="00C540D3" w:rsidP="00C540D3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A40FD">
              <w:rPr>
                <w:rFonts w:eastAsia="Times New Roman" w:cstheme="minorHAnsi"/>
                <w:sz w:val="24"/>
                <w:szCs w:val="24"/>
                <w:lang w:eastAsia="en-GB"/>
              </w:rPr>
              <w:t>Positive feedback from parents and pupils regarding the clarity of information shared.</w:t>
            </w:r>
          </w:p>
          <w:p w:rsidR="002F3F62" w:rsidRPr="00CA40FD" w:rsidRDefault="002F3F62" w:rsidP="0079448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C540D3" w:rsidTr="00C540D3">
        <w:trPr>
          <w:gridAfter w:val="4"/>
          <w:wAfter w:w="7748" w:type="dxa"/>
          <w:trHeight w:val="293"/>
        </w:trPr>
        <w:tc>
          <w:tcPr>
            <w:tcW w:w="1268" w:type="dxa"/>
            <w:vMerge/>
          </w:tcPr>
          <w:p w:rsidR="00C540D3" w:rsidRPr="005E06BB" w:rsidRDefault="00C540D3" w:rsidP="00062E7E">
            <w:pPr>
              <w:rPr>
                <w:sz w:val="24"/>
                <w:szCs w:val="24"/>
              </w:rPr>
            </w:pPr>
          </w:p>
        </w:tc>
      </w:tr>
      <w:tr w:rsidR="00C540D3" w:rsidTr="00C540D3">
        <w:trPr>
          <w:gridAfter w:val="4"/>
          <w:wAfter w:w="7748" w:type="dxa"/>
          <w:trHeight w:val="293"/>
        </w:trPr>
        <w:tc>
          <w:tcPr>
            <w:tcW w:w="1268" w:type="dxa"/>
            <w:vMerge/>
          </w:tcPr>
          <w:p w:rsidR="00C540D3" w:rsidRPr="005E06BB" w:rsidRDefault="00C540D3" w:rsidP="00062E7E">
            <w:pPr>
              <w:rPr>
                <w:sz w:val="24"/>
                <w:szCs w:val="24"/>
              </w:rPr>
            </w:pPr>
          </w:p>
        </w:tc>
      </w:tr>
      <w:tr w:rsidR="00C540D3" w:rsidTr="00C540D3">
        <w:trPr>
          <w:gridAfter w:val="4"/>
          <w:wAfter w:w="7748" w:type="dxa"/>
          <w:trHeight w:val="293"/>
        </w:trPr>
        <w:tc>
          <w:tcPr>
            <w:tcW w:w="1268" w:type="dxa"/>
            <w:vMerge/>
          </w:tcPr>
          <w:p w:rsidR="00C540D3" w:rsidRPr="005E06BB" w:rsidRDefault="00C540D3" w:rsidP="00062E7E">
            <w:pPr>
              <w:rPr>
                <w:sz w:val="24"/>
                <w:szCs w:val="24"/>
              </w:rPr>
            </w:pPr>
          </w:p>
        </w:tc>
      </w:tr>
    </w:tbl>
    <w:p w:rsidR="000B6C8F" w:rsidRDefault="000B6C8F" w:rsidP="00062E7E">
      <w:pPr>
        <w:rPr>
          <w:sz w:val="48"/>
          <w:szCs w:val="48"/>
        </w:rPr>
      </w:pP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Monitoring and Review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• The accessibility plan will be reviewed annually to assess progress and make necessary adjustments.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• Feedback will be gathered from pupils, parents, and staff to inform future actions and improvements.</w:t>
      </w:r>
    </w:p>
    <w:p w:rsid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Conclusion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This accessibility plan aims to foster an inclusive environment where all pupils, regardless of their disabilities, can thrive academically and socially. By implementing these strategies,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Zetland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Primary</w:t>
      </w: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 will ensure compliance with the Equality Act 2010 while promoting a culture of inclusivity and support.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Sources: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• Equality Act 2010</w:t>
      </w:r>
    </w:p>
    <w:p w:rsidR="00C540D3" w:rsidRPr="00C540D3" w:rsidRDefault="00C540D3" w:rsidP="00C540D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C540D3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• EEF - Special Educational Needs in Mainstream Schools</w:t>
      </w:r>
    </w:p>
    <w:p w:rsidR="00C540D3" w:rsidRPr="00C540D3" w:rsidRDefault="00C540D3" w:rsidP="00062E7E">
      <w:pPr>
        <w:rPr>
          <w:sz w:val="24"/>
          <w:szCs w:val="24"/>
        </w:rPr>
      </w:pPr>
    </w:p>
    <w:sectPr w:rsidR="00C540D3" w:rsidRPr="00C5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68"/>
    <w:rsid w:val="00034EEC"/>
    <w:rsid w:val="00062E7E"/>
    <w:rsid w:val="000B6C8F"/>
    <w:rsid w:val="002F3F62"/>
    <w:rsid w:val="00307E68"/>
    <w:rsid w:val="003577D7"/>
    <w:rsid w:val="0043757F"/>
    <w:rsid w:val="00573BDF"/>
    <w:rsid w:val="005E06BB"/>
    <w:rsid w:val="00794487"/>
    <w:rsid w:val="007F75D0"/>
    <w:rsid w:val="008467CB"/>
    <w:rsid w:val="00863208"/>
    <w:rsid w:val="00A62513"/>
    <w:rsid w:val="00C540D3"/>
    <w:rsid w:val="00CA40FD"/>
    <w:rsid w:val="00CA5E6A"/>
    <w:rsid w:val="00F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65C4-3F01-46C4-B9FD-EDBB76B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Richardson</dc:creator>
  <cp:keywords/>
  <dc:description/>
  <cp:lastModifiedBy>Mr Richardson</cp:lastModifiedBy>
  <cp:revision>10</cp:revision>
  <dcterms:created xsi:type="dcterms:W3CDTF">2024-12-05T11:18:00Z</dcterms:created>
  <dcterms:modified xsi:type="dcterms:W3CDTF">2024-12-05T13:53:00Z</dcterms:modified>
</cp:coreProperties>
</file>